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E9EA" w14:textId="77777777" w:rsidR="00F41FA2" w:rsidRDefault="00F41FA2" w:rsidP="00F41FA2">
      <w:pPr>
        <w:spacing w:after="0" w:line="240" w:lineRule="auto"/>
        <w:rPr>
          <w:rFonts w:eastAsia="Aptos" w:cstheme="minorHAnsi"/>
          <w:kern w:val="0"/>
          <w14:ligatures w14:val="none"/>
        </w:rPr>
      </w:pPr>
    </w:p>
    <w:p w14:paraId="127369CF" w14:textId="58B3D64B" w:rsidR="00F41FA2" w:rsidRDefault="00F356BA" w:rsidP="00F356BA">
      <w:pPr>
        <w:spacing w:after="0" w:line="240" w:lineRule="auto"/>
        <w:rPr>
          <w:rFonts w:ascii="Arial" w:eastAsia="Aptos" w:hAnsi="Arial" w:cs="Arial"/>
          <w:b/>
          <w:bCs/>
          <w:kern w:val="0"/>
          <w:sz w:val="28"/>
          <w:szCs w:val="28"/>
          <w14:ligatures w14:val="none"/>
        </w:rPr>
      </w:pPr>
      <w:r w:rsidRPr="007F5028">
        <w:rPr>
          <w:rFonts w:ascii="Arial" w:eastAsia="Aptos" w:hAnsi="Arial" w:cs="Arial"/>
          <w:b/>
          <w:bCs/>
          <w:kern w:val="0"/>
          <w:sz w:val="28"/>
          <w:szCs w:val="28"/>
          <w14:ligatures w14:val="none"/>
        </w:rPr>
        <w:t xml:space="preserve">The Spx redox switch controls cystine uptake and toxicity in </w:t>
      </w:r>
      <w:r w:rsidRPr="007F5028">
        <w:rPr>
          <w:rFonts w:ascii="Arial" w:eastAsia="Aptos" w:hAnsi="Arial" w:cs="Arial"/>
          <w:b/>
          <w:bCs/>
          <w:i/>
          <w:iCs/>
          <w:kern w:val="0"/>
          <w:sz w:val="28"/>
          <w:szCs w:val="28"/>
          <w14:ligatures w14:val="none"/>
        </w:rPr>
        <w:t>Staphylococcus aureus</w:t>
      </w:r>
      <w:r w:rsidRPr="007F5028">
        <w:rPr>
          <w:rFonts w:ascii="Arial" w:eastAsia="Aptos" w:hAnsi="Arial" w:cs="Arial"/>
          <w:b/>
          <w:bCs/>
          <w:kern w:val="0"/>
          <w:sz w:val="28"/>
          <w:szCs w:val="28"/>
          <w14:ligatures w14:val="none"/>
        </w:rPr>
        <w:t xml:space="preserve"> under disulfide stress</w:t>
      </w:r>
    </w:p>
    <w:p w14:paraId="0F6CE4FB" w14:textId="77777777" w:rsidR="00F41FA2" w:rsidRPr="00F356BA" w:rsidRDefault="00F41FA2" w:rsidP="00F41FA2">
      <w:pPr>
        <w:spacing w:after="0" w:line="240" w:lineRule="auto"/>
        <w:rPr>
          <w:rFonts w:ascii="Arial" w:eastAsia="Aptos" w:hAnsi="Arial" w:cs="Arial"/>
          <w:kern w:val="0"/>
          <w:sz w:val="24"/>
          <w:szCs w:val="24"/>
          <w14:ligatures w14:val="none"/>
        </w:rPr>
      </w:pPr>
    </w:p>
    <w:p w14:paraId="363570C7" w14:textId="77777777" w:rsidR="00884230" w:rsidRPr="00884230" w:rsidRDefault="00884230" w:rsidP="00884230">
      <w:pPr>
        <w:spacing w:after="0" w:line="240" w:lineRule="auto"/>
        <w:rPr>
          <w:rFonts w:ascii="Arial" w:eastAsia="Aptos" w:hAnsi="Arial" w:cs="Arial"/>
          <w:kern w:val="0"/>
          <w:sz w:val="20"/>
          <w:szCs w:val="20"/>
          <w14:ligatures w14:val="none"/>
        </w:rPr>
      </w:pPr>
      <w:r w:rsidRPr="00884230">
        <w:rPr>
          <w:rFonts w:ascii="Arial" w:eastAsia="Aptos" w:hAnsi="Arial" w:cs="Arial"/>
          <w:kern w:val="0"/>
          <w:sz w:val="20"/>
          <w:szCs w:val="20"/>
          <w14:ligatures w14:val="none"/>
        </w:rPr>
        <w:t>Abigail G. Hall</w:t>
      </w:r>
      <w:r w:rsidRPr="00884230">
        <w:rPr>
          <w:rFonts w:ascii="Arial" w:eastAsia="Aptos" w:hAnsi="Arial" w:cs="Arial"/>
          <w:kern w:val="0"/>
          <w:sz w:val="20"/>
          <w:szCs w:val="20"/>
          <w:vertAlign w:val="superscript"/>
          <w14:ligatures w14:val="none"/>
        </w:rPr>
        <w:t>1</w:t>
      </w:r>
      <w:r w:rsidRPr="00884230">
        <w:rPr>
          <w:rFonts w:ascii="Arial" w:eastAsia="Aptos" w:hAnsi="Arial" w:cs="Arial"/>
          <w:kern w:val="0"/>
          <w:sz w:val="20"/>
          <w:szCs w:val="20"/>
          <w14:ligatures w14:val="none"/>
        </w:rPr>
        <w:t>, Abdulelah A. Alqarzaee</w:t>
      </w:r>
      <w:r w:rsidRPr="00884230">
        <w:rPr>
          <w:rFonts w:ascii="Arial" w:eastAsia="Aptos" w:hAnsi="Arial" w:cs="Arial"/>
          <w:kern w:val="0"/>
          <w:sz w:val="20"/>
          <w:szCs w:val="20"/>
          <w:vertAlign w:val="superscript"/>
          <w14:ligatures w14:val="none"/>
        </w:rPr>
        <w:t>1</w:t>
      </w:r>
      <w:r w:rsidRPr="00884230">
        <w:rPr>
          <w:rFonts w:ascii="Arial" w:eastAsia="Aptos" w:hAnsi="Arial" w:cs="Arial"/>
          <w:kern w:val="0"/>
          <w:sz w:val="20"/>
          <w:szCs w:val="20"/>
          <w14:ligatures w14:val="none"/>
        </w:rPr>
        <w:t>, Sasmita Panda</w:t>
      </w:r>
      <w:r w:rsidRPr="00884230">
        <w:rPr>
          <w:rFonts w:ascii="Arial" w:eastAsia="Aptos" w:hAnsi="Arial" w:cs="Arial"/>
          <w:kern w:val="0"/>
          <w:sz w:val="20"/>
          <w:szCs w:val="20"/>
          <w:vertAlign w:val="superscript"/>
          <w14:ligatures w14:val="none"/>
        </w:rPr>
        <w:t>1</w:t>
      </w:r>
      <w:r w:rsidRPr="00884230">
        <w:rPr>
          <w:rFonts w:ascii="Arial" w:eastAsia="Aptos" w:hAnsi="Arial" w:cs="Arial"/>
          <w:kern w:val="0"/>
          <w:sz w:val="20"/>
          <w:szCs w:val="20"/>
          <w14:ligatures w14:val="none"/>
        </w:rPr>
        <w:t>, Sujata S. Chaudhari</w:t>
      </w:r>
      <w:r w:rsidRPr="00884230">
        <w:rPr>
          <w:rFonts w:ascii="Arial" w:eastAsia="Aptos" w:hAnsi="Arial" w:cs="Arial"/>
          <w:kern w:val="0"/>
          <w:sz w:val="20"/>
          <w:szCs w:val="20"/>
          <w:vertAlign w:val="superscript"/>
          <w14:ligatures w14:val="none"/>
        </w:rPr>
        <w:t>1</w:t>
      </w:r>
      <w:r w:rsidRPr="00884230">
        <w:rPr>
          <w:rFonts w:ascii="Arial" w:eastAsia="Aptos" w:hAnsi="Arial" w:cs="Arial"/>
          <w:kern w:val="0"/>
          <w:sz w:val="20"/>
          <w:szCs w:val="20"/>
          <w14:ligatures w14:val="none"/>
        </w:rPr>
        <w:t>, Dorte Frees</w:t>
      </w:r>
      <w:r w:rsidRPr="00884230">
        <w:rPr>
          <w:rFonts w:ascii="Arial" w:eastAsia="Aptos" w:hAnsi="Arial" w:cs="Arial"/>
          <w:kern w:val="0"/>
          <w:sz w:val="20"/>
          <w:szCs w:val="20"/>
          <w:vertAlign w:val="superscript"/>
          <w14:ligatures w14:val="none"/>
        </w:rPr>
        <w:t>2</w:t>
      </w:r>
      <w:r w:rsidRPr="00884230">
        <w:rPr>
          <w:rFonts w:ascii="Arial" w:eastAsia="Aptos" w:hAnsi="Arial" w:cs="Arial"/>
          <w:kern w:val="0"/>
          <w:sz w:val="20"/>
          <w:szCs w:val="20"/>
          <w14:ligatures w14:val="none"/>
        </w:rPr>
        <w:t xml:space="preserve"> and Vinai C. Thomas</w:t>
      </w:r>
      <w:r w:rsidRPr="00884230">
        <w:rPr>
          <w:rFonts w:ascii="Arial" w:eastAsia="Aptos" w:hAnsi="Arial" w:cs="Arial"/>
          <w:kern w:val="0"/>
          <w:sz w:val="20"/>
          <w:szCs w:val="20"/>
          <w:vertAlign w:val="superscript"/>
          <w14:ligatures w14:val="none"/>
        </w:rPr>
        <w:t>1</w:t>
      </w:r>
    </w:p>
    <w:p w14:paraId="3B345038" w14:textId="77777777" w:rsidR="00884230" w:rsidRPr="00884230" w:rsidRDefault="00884230" w:rsidP="00884230">
      <w:pPr>
        <w:spacing w:after="0" w:line="240" w:lineRule="auto"/>
        <w:rPr>
          <w:rFonts w:ascii="Arial" w:eastAsia="Aptos" w:hAnsi="Arial" w:cs="Arial"/>
          <w:kern w:val="0"/>
          <w:sz w:val="20"/>
          <w:szCs w:val="20"/>
          <w14:ligatures w14:val="none"/>
        </w:rPr>
      </w:pPr>
      <w:r w:rsidRPr="00884230">
        <w:rPr>
          <w:rFonts w:ascii="Arial" w:eastAsia="Aptos" w:hAnsi="Arial" w:cs="Arial"/>
          <w:kern w:val="0"/>
          <w:sz w:val="20"/>
          <w:szCs w:val="20"/>
          <w:vertAlign w:val="superscript"/>
          <w14:ligatures w14:val="none"/>
        </w:rPr>
        <w:t>1</w:t>
      </w:r>
      <w:r w:rsidRPr="00884230">
        <w:rPr>
          <w:rFonts w:ascii="Arial" w:eastAsia="Aptos" w:hAnsi="Arial" w:cs="Arial"/>
          <w:kern w:val="0"/>
          <w:sz w:val="20"/>
          <w:szCs w:val="20"/>
          <w14:ligatures w14:val="none"/>
        </w:rPr>
        <w:t>Department of Pathology and Microbiology, University of Nebraska Medical Center, Omaha, NE 68198 USA</w:t>
      </w:r>
    </w:p>
    <w:p w14:paraId="043A625A" w14:textId="60F64A96" w:rsidR="007F5028" w:rsidRPr="00884230" w:rsidRDefault="00884230" w:rsidP="00884230">
      <w:pPr>
        <w:spacing w:after="0" w:line="240" w:lineRule="auto"/>
        <w:rPr>
          <w:rFonts w:ascii="Arial" w:eastAsia="Aptos" w:hAnsi="Arial" w:cs="Arial"/>
          <w:kern w:val="0"/>
          <w:sz w:val="20"/>
          <w:szCs w:val="20"/>
          <w14:ligatures w14:val="none"/>
        </w:rPr>
      </w:pPr>
      <w:r w:rsidRPr="00884230">
        <w:rPr>
          <w:rFonts w:ascii="Arial" w:eastAsia="Aptos" w:hAnsi="Arial" w:cs="Arial"/>
          <w:kern w:val="0"/>
          <w:sz w:val="20"/>
          <w:szCs w:val="20"/>
          <w:vertAlign w:val="superscript"/>
          <w14:ligatures w14:val="none"/>
        </w:rPr>
        <w:t>2</w:t>
      </w:r>
      <w:r w:rsidRPr="00884230">
        <w:rPr>
          <w:rFonts w:ascii="Arial" w:eastAsia="Aptos" w:hAnsi="Arial" w:cs="Arial"/>
          <w:kern w:val="0"/>
          <w:sz w:val="20"/>
          <w:szCs w:val="20"/>
          <w14:ligatures w14:val="none"/>
        </w:rPr>
        <w:t>Department of Veterinary and Animal Sciences, University of Copenhagen, Denmark</w:t>
      </w:r>
    </w:p>
    <w:p w14:paraId="606F1116" w14:textId="77777777" w:rsidR="007F5028" w:rsidRDefault="007F5028" w:rsidP="00F41FA2">
      <w:pPr>
        <w:spacing w:after="0" w:line="240" w:lineRule="auto"/>
        <w:rPr>
          <w:rFonts w:ascii="Arial" w:eastAsia="Aptos" w:hAnsi="Arial" w:cs="Arial"/>
          <w:kern w:val="0"/>
          <w:sz w:val="24"/>
          <w:szCs w:val="24"/>
          <w14:ligatures w14:val="none"/>
        </w:rPr>
      </w:pPr>
    </w:p>
    <w:p w14:paraId="56F28718" w14:textId="4BA7ECF5" w:rsidR="00F41FA2" w:rsidRPr="00F356BA" w:rsidRDefault="00F41FA2" w:rsidP="00F41FA2">
      <w:pPr>
        <w:spacing w:after="0" w:line="240" w:lineRule="auto"/>
        <w:rPr>
          <w:rFonts w:ascii="Arial" w:eastAsia="Aptos" w:hAnsi="Arial" w:cs="Arial"/>
          <w:kern w:val="0"/>
          <w:sz w:val="24"/>
          <w:szCs w:val="24"/>
          <w14:ligatures w14:val="none"/>
        </w:rPr>
      </w:pPr>
      <w:r w:rsidRPr="00F356BA">
        <w:rPr>
          <w:rFonts w:ascii="Arial" w:eastAsia="Aptos" w:hAnsi="Arial" w:cs="Arial"/>
          <w:kern w:val="0"/>
          <w:sz w:val="24"/>
          <w:szCs w:val="24"/>
          <w14:ligatures w14:val="none"/>
        </w:rPr>
        <w:t xml:space="preserve">Spx is an essential redox-sensitive transcriptional regulator that responds to disulfide stress and maintains thiol homeostasis in the gram-positive pathogen </w:t>
      </w:r>
      <w:r w:rsidRPr="00F356BA">
        <w:rPr>
          <w:rFonts w:ascii="Arial" w:eastAsia="Aptos" w:hAnsi="Arial" w:cs="Arial"/>
          <w:i/>
          <w:iCs/>
          <w:kern w:val="0"/>
          <w:sz w:val="24"/>
          <w:szCs w:val="24"/>
          <w14:ligatures w14:val="none"/>
        </w:rPr>
        <w:t>Staphylococcus aureus</w:t>
      </w:r>
      <w:r w:rsidRPr="00F356BA">
        <w:rPr>
          <w:rFonts w:ascii="Arial" w:eastAsia="Aptos" w:hAnsi="Arial" w:cs="Arial"/>
          <w:kern w:val="0"/>
          <w:sz w:val="24"/>
          <w:szCs w:val="24"/>
          <w14:ligatures w14:val="none"/>
        </w:rPr>
        <w:t xml:space="preserve">. The formation of an oxidized disulfide in the Spx redox switch enables it to bind the alpha subunit of the RNA polymerase and facilitate expression of various genes involved in thiol homeostasis. Remarkably, we engineered a </w:t>
      </w:r>
      <w:r w:rsidRPr="00F356BA">
        <w:rPr>
          <w:rFonts w:ascii="Arial" w:eastAsia="Aptos" w:hAnsi="Arial" w:cs="Arial"/>
          <w:i/>
          <w:iCs/>
          <w:kern w:val="0"/>
          <w:sz w:val="24"/>
          <w:szCs w:val="24"/>
          <w14:ligatures w14:val="none"/>
        </w:rPr>
        <w:t>spx</w:t>
      </w:r>
      <w:r w:rsidRPr="00F356BA">
        <w:rPr>
          <w:rFonts w:ascii="Arial" w:eastAsia="Aptos" w:hAnsi="Arial" w:cs="Arial"/>
          <w:kern w:val="0"/>
          <w:sz w:val="24"/>
          <w:szCs w:val="24"/>
          <w:vertAlign w:val="superscript"/>
          <w14:ligatures w14:val="none"/>
        </w:rPr>
        <w:t>C10A</w:t>
      </w:r>
      <w:r w:rsidRPr="00F356BA">
        <w:rPr>
          <w:rFonts w:ascii="Arial" w:eastAsia="Aptos" w:hAnsi="Arial" w:cs="Arial"/>
          <w:kern w:val="0"/>
          <w:sz w:val="24"/>
          <w:szCs w:val="24"/>
          <w14:ligatures w14:val="none"/>
        </w:rPr>
        <w:t xml:space="preserve"> mutation that encoded an oxidation-insensitive Spx</w:t>
      </w:r>
      <w:r w:rsidRPr="00F356BA">
        <w:rPr>
          <w:rFonts w:ascii="Arial" w:eastAsia="Aptos" w:hAnsi="Arial" w:cs="Arial"/>
          <w:kern w:val="0"/>
          <w:sz w:val="24"/>
          <w:szCs w:val="24"/>
          <w:vertAlign w:val="superscript"/>
          <w14:ligatures w14:val="none"/>
        </w:rPr>
        <w:t>C10A</w:t>
      </w:r>
      <w:r w:rsidRPr="00F356BA">
        <w:rPr>
          <w:rFonts w:ascii="Arial" w:eastAsia="Aptos" w:hAnsi="Arial" w:cs="Arial"/>
          <w:kern w:val="0"/>
          <w:sz w:val="24"/>
          <w:szCs w:val="24"/>
          <w14:ligatures w14:val="none"/>
        </w:rPr>
        <w:t xml:space="preserve"> variant suggesting that functions associated with redox signaling in Spx are not essential for growth. However, the </w:t>
      </w:r>
      <w:r w:rsidRPr="00F356BA">
        <w:rPr>
          <w:rFonts w:ascii="Arial" w:eastAsia="Aptos" w:hAnsi="Arial" w:cs="Arial"/>
          <w:i/>
          <w:iCs/>
          <w:kern w:val="0"/>
          <w:sz w:val="24"/>
          <w:szCs w:val="24"/>
          <w14:ligatures w14:val="none"/>
        </w:rPr>
        <w:t>spx</w:t>
      </w:r>
      <w:r w:rsidRPr="00F356BA">
        <w:rPr>
          <w:rFonts w:ascii="Arial" w:eastAsia="Aptos" w:hAnsi="Arial" w:cs="Arial"/>
          <w:kern w:val="0"/>
          <w:sz w:val="24"/>
          <w:szCs w:val="24"/>
          <w:vertAlign w:val="superscript"/>
          <w14:ligatures w14:val="none"/>
        </w:rPr>
        <w:t>C10A</w:t>
      </w:r>
      <w:r w:rsidRPr="00F356BA">
        <w:rPr>
          <w:rFonts w:ascii="Arial" w:eastAsia="Aptos" w:hAnsi="Arial" w:cs="Arial"/>
          <w:kern w:val="0"/>
          <w:sz w:val="24"/>
          <w:szCs w:val="24"/>
          <w14:ligatures w14:val="none"/>
        </w:rPr>
        <w:t xml:space="preserve"> mutant exhibited increased sensitivity to diamide-mediated disulfide stress compared</w:t>
      </w:r>
      <w:r w:rsidRPr="00F356BA" w:rsidDel="00BC36E3">
        <w:rPr>
          <w:rFonts w:ascii="Arial" w:eastAsia="Aptos" w:hAnsi="Arial" w:cs="Arial"/>
          <w:kern w:val="0"/>
          <w:sz w:val="24"/>
          <w:szCs w:val="24"/>
          <w14:ligatures w14:val="none"/>
        </w:rPr>
        <w:t xml:space="preserve"> </w:t>
      </w:r>
      <w:r w:rsidRPr="00F356BA">
        <w:rPr>
          <w:rFonts w:ascii="Arial" w:eastAsia="Aptos" w:hAnsi="Arial" w:cs="Arial"/>
          <w:kern w:val="0"/>
          <w:sz w:val="24"/>
          <w:szCs w:val="24"/>
          <w14:ligatures w14:val="none"/>
        </w:rPr>
        <w:t xml:space="preserve">to the wild-type strain. Here, we demonstrate that the impaired growth of the </w:t>
      </w:r>
      <w:r w:rsidRPr="00F356BA">
        <w:rPr>
          <w:rFonts w:ascii="Arial" w:eastAsia="Aptos" w:hAnsi="Arial" w:cs="Arial"/>
          <w:i/>
          <w:iCs/>
          <w:kern w:val="0"/>
          <w:sz w:val="24"/>
          <w:szCs w:val="24"/>
          <w14:ligatures w14:val="none"/>
        </w:rPr>
        <w:t>spx</w:t>
      </w:r>
      <w:r w:rsidRPr="00F356BA">
        <w:rPr>
          <w:rFonts w:ascii="Arial" w:eastAsia="Aptos" w:hAnsi="Arial" w:cs="Arial"/>
          <w:kern w:val="0"/>
          <w:sz w:val="24"/>
          <w:szCs w:val="24"/>
          <w:vertAlign w:val="superscript"/>
          <w14:ligatures w14:val="none"/>
        </w:rPr>
        <w:t>C10A</w:t>
      </w:r>
      <w:r w:rsidRPr="00F356BA">
        <w:rPr>
          <w:rFonts w:ascii="Arial" w:eastAsia="Aptos" w:hAnsi="Arial" w:cs="Arial"/>
          <w:kern w:val="0"/>
          <w:sz w:val="24"/>
          <w:szCs w:val="24"/>
          <w14:ligatures w14:val="none"/>
        </w:rPr>
        <w:t xml:space="preserve"> mutant following diamide stress does not arise from its inability to maintain intracellular thiol homeostasis. Rather, the </w:t>
      </w:r>
      <w:r w:rsidRPr="00F356BA">
        <w:rPr>
          <w:rFonts w:ascii="Arial" w:eastAsia="Aptos" w:hAnsi="Arial" w:cs="Arial"/>
          <w:i/>
          <w:iCs/>
          <w:kern w:val="0"/>
          <w:sz w:val="24"/>
          <w:szCs w:val="24"/>
          <w14:ligatures w14:val="none"/>
        </w:rPr>
        <w:t>spx</w:t>
      </w:r>
      <w:r w:rsidRPr="00F356BA">
        <w:rPr>
          <w:rFonts w:ascii="Arial" w:eastAsia="Aptos" w:hAnsi="Arial" w:cs="Arial"/>
          <w:kern w:val="0"/>
          <w:sz w:val="24"/>
          <w:szCs w:val="24"/>
          <w:vertAlign w:val="superscript"/>
          <w14:ligatures w14:val="none"/>
        </w:rPr>
        <w:t>C10A</w:t>
      </w:r>
      <w:r w:rsidRPr="00F356BA">
        <w:rPr>
          <w:rFonts w:ascii="Arial" w:eastAsia="Aptos" w:hAnsi="Arial" w:cs="Arial"/>
          <w:kern w:val="0"/>
          <w:sz w:val="24"/>
          <w:szCs w:val="24"/>
          <w14:ligatures w14:val="none"/>
        </w:rPr>
        <w:t xml:space="preserve"> mutant can efficiently adapt and counter thiol oxidation through increased CymR-dependent cystine uptake. Paradoxically, our findings reveal that cystine uptake during disulfide stress is toxic to the growth of the </w:t>
      </w:r>
      <w:r w:rsidRPr="00F356BA">
        <w:rPr>
          <w:rFonts w:ascii="Arial" w:eastAsia="Aptos" w:hAnsi="Arial" w:cs="Arial"/>
          <w:i/>
          <w:iCs/>
          <w:kern w:val="0"/>
          <w:sz w:val="24"/>
          <w:szCs w:val="24"/>
          <w14:ligatures w14:val="none"/>
        </w:rPr>
        <w:t>spx</w:t>
      </w:r>
      <w:r w:rsidRPr="00F356BA">
        <w:rPr>
          <w:rFonts w:ascii="Arial" w:eastAsia="Aptos" w:hAnsi="Arial" w:cs="Arial"/>
          <w:kern w:val="0"/>
          <w:sz w:val="24"/>
          <w:szCs w:val="24"/>
          <w:vertAlign w:val="superscript"/>
          <w14:ligatures w14:val="none"/>
        </w:rPr>
        <w:t>C10A</w:t>
      </w:r>
      <w:r w:rsidRPr="00F356BA">
        <w:rPr>
          <w:rFonts w:ascii="Arial" w:eastAsia="Aptos" w:hAnsi="Arial" w:cs="Arial"/>
          <w:kern w:val="0"/>
          <w:sz w:val="24"/>
          <w:szCs w:val="24"/>
          <w14:ligatures w14:val="none"/>
        </w:rPr>
        <w:t xml:space="preserve"> mutant. The inactivation of the major cystine transporters in </w:t>
      </w:r>
      <w:r w:rsidRPr="00F356BA">
        <w:rPr>
          <w:rFonts w:ascii="Arial" w:eastAsia="Aptos" w:hAnsi="Arial" w:cs="Arial"/>
          <w:i/>
          <w:iCs/>
          <w:kern w:val="0"/>
          <w:sz w:val="24"/>
          <w:szCs w:val="24"/>
          <w14:ligatures w14:val="none"/>
        </w:rPr>
        <w:t>S. aureus</w:t>
      </w:r>
      <w:r w:rsidRPr="00F356BA">
        <w:rPr>
          <w:rFonts w:ascii="Arial" w:eastAsia="Aptos" w:hAnsi="Arial" w:cs="Arial"/>
          <w:kern w:val="0"/>
          <w:sz w:val="24"/>
          <w:szCs w:val="24"/>
          <w14:ligatures w14:val="none"/>
        </w:rPr>
        <w:t xml:space="preserve"> under disulfide stress prevented the </w:t>
      </w:r>
      <w:r w:rsidRPr="00F356BA">
        <w:rPr>
          <w:rFonts w:ascii="Arial" w:eastAsia="Aptos" w:hAnsi="Arial" w:cs="Arial"/>
          <w:i/>
          <w:iCs/>
          <w:kern w:val="0"/>
          <w:sz w:val="24"/>
          <w:szCs w:val="24"/>
          <w14:ligatures w14:val="none"/>
        </w:rPr>
        <w:t>spx</w:t>
      </w:r>
      <w:r w:rsidRPr="00F356BA">
        <w:rPr>
          <w:rFonts w:ascii="Arial" w:eastAsia="Aptos" w:hAnsi="Arial" w:cs="Arial"/>
          <w:kern w:val="0"/>
          <w:sz w:val="24"/>
          <w:szCs w:val="24"/>
          <w:vertAlign w:val="superscript"/>
          <w14:ligatures w14:val="none"/>
        </w:rPr>
        <w:t>C10A</w:t>
      </w:r>
      <w:r w:rsidRPr="00F356BA">
        <w:rPr>
          <w:rFonts w:ascii="Arial" w:eastAsia="Aptos" w:hAnsi="Arial" w:cs="Arial"/>
          <w:kern w:val="0"/>
          <w:sz w:val="24"/>
          <w:szCs w:val="24"/>
          <w14:ligatures w14:val="none"/>
        </w:rPr>
        <w:t xml:space="preserve"> mutant from adapting to the oxidized intracellular thiol environment, but unexpectedly restored its growth. These findings indicate that </w:t>
      </w:r>
      <w:r w:rsidRPr="00F356BA">
        <w:rPr>
          <w:rFonts w:ascii="Arial" w:eastAsia="Aptos" w:hAnsi="Arial" w:cs="Arial"/>
          <w:i/>
          <w:iCs/>
          <w:kern w:val="0"/>
          <w:sz w:val="24"/>
          <w:szCs w:val="24"/>
          <w14:ligatures w14:val="none"/>
        </w:rPr>
        <w:t>S. aureus</w:t>
      </w:r>
      <w:r w:rsidRPr="00F356BA">
        <w:rPr>
          <w:rFonts w:ascii="Arial" w:eastAsia="Aptos" w:hAnsi="Arial" w:cs="Arial"/>
          <w:kern w:val="0"/>
          <w:sz w:val="24"/>
          <w:szCs w:val="24"/>
          <w14:ligatures w14:val="none"/>
        </w:rPr>
        <w:t xml:space="preserve"> may utilize redox signaling through Spx to limit toxicity from cystine uptake during disulfide stress.</w:t>
      </w:r>
    </w:p>
    <w:p w14:paraId="2C5BC9B8" w14:textId="77777777" w:rsidR="00436A27" w:rsidRDefault="00436A27"/>
    <w:sectPr w:rsidR="00436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E0"/>
    <w:rsid w:val="00141403"/>
    <w:rsid w:val="00436A27"/>
    <w:rsid w:val="00523952"/>
    <w:rsid w:val="005503E0"/>
    <w:rsid w:val="005C3ACD"/>
    <w:rsid w:val="007F2D9A"/>
    <w:rsid w:val="007F5028"/>
    <w:rsid w:val="00884230"/>
    <w:rsid w:val="00907028"/>
    <w:rsid w:val="00987E80"/>
    <w:rsid w:val="00B54F72"/>
    <w:rsid w:val="00CB150E"/>
    <w:rsid w:val="00E972BE"/>
    <w:rsid w:val="00F356BA"/>
    <w:rsid w:val="00F4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EE86"/>
  <w15:chartTrackingRefBased/>
  <w15:docId w15:val="{59F02A3B-6192-4C14-A99A-B211D2A7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FA2"/>
  </w:style>
  <w:style w:type="paragraph" w:styleId="Heading1">
    <w:name w:val="heading 1"/>
    <w:basedOn w:val="Normal"/>
    <w:next w:val="Normal"/>
    <w:link w:val="Heading1Char"/>
    <w:uiPriority w:val="9"/>
    <w:qFormat/>
    <w:rsid w:val="00550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3E0"/>
    <w:rPr>
      <w:rFonts w:eastAsiaTheme="majorEastAsia" w:cstheme="majorBidi"/>
      <w:color w:val="272727" w:themeColor="text1" w:themeTint="D8"/>
    </w:rPr>
  </w:style>
  <w:style w:type="paragraph" w:styleId="Title">
    <w:name w:val="Title"/>
    <w:basedOn w:val="Normal"/>
    <w:next w:val="Normal"/>
    <w:link w:val="TitleChar"/>
    <w:uiPriority w:val="10"/>
    <w:qFormat/>
    <w:rsid w:val="00550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3E0"/>
    <w:pPr>
      <w:spacing w:before="160"/>
      <w:jc w:val="center"/>
    </w:pPr>
    <w:rPr>
      <w:i/>
      <w:iCs/>
      <w:color w:val="404040" w:themeColor="text1" w:themeTint="BF"/>
    </w:rPr>
  </w:style>
  <w:style w:type="character" w:customStyle="1" w:styleId="QuoteChar">
    <w:name w:val="Quote Char"/>
    <w:basedOn w:val="DefaultParagraphFont"/>
    <w:link w:val="Quote"/>
    <w:uiPriority w:val="29"/>
    <w:rsid w:val="005503E0"/>
    <w:rPr>
      <w:i/>
      <w:iCs/>
      <w:color w:val="404040" w:themeColor="text1" w:themeTint="BF"/>
    </w:rPr>
  </w:style>
  <w:style w:type="paragraph" w:styleId="ListParagraph">
    <w:name w:val="List Paragraph"/>
    <w:basedOn w:val="Normal"/>
    <w:uiPriority w:val="34"/>
    <w:qFormat/>
    <w:rsid w:val="005503E0"/>
    <w:pPr>
      <w:ind w:left="720"/>
      <w:contextualSpacing/>
    </w:pPr>
  </w:style>
  <w:style w:type="character" w:styleId="IntenseEmphasis">
    <w:name w:val="Intense Emphasis"/>
    <w:basedOn w:val="DefaultParagraphFont"/>
    <w:uiPriority w:val="21"/>
    <w:qFormat/>
    <w:rsid w:val="005503E0"/>
    <w:rPr>
      <w:i/>
      <w:iCs/>
      <w:color w:val="0F4761" w:themeColor="accent1" w:themeShade="BF"/>
    </w:rPr>
  </w:style>
  <w:style w:type="paragraph" w:styleId="IntenseQuote">
    <w:name w:val="Intense Quote"/>
    <w:basedOn w:val="Normal"/>
    <w:next w:val="Normal"/>
    <w:link w:val="IntenseQuoteChar"/>
    <w:uiPriority w:val="30"/>
    <w:qFormat/>
    <w:rsid w:val="00550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3E0"/>
    <w:rPr>
      <w:i/>
      <w:iCs/>
      <w:color w:val="0F4761" w:themeColor="accent1" w:themeShade="BF"/>
    </w:rPr>
  </w:style>
  <w:style w:type="character" w:styleId="IntenseReference">
    <w:name w:val="Intense Reference"/>
    <w:basedOn w:val="DefaultParagraphFont"/>
    <w:uiPriority w:val="32"/>
    <w:qFormat/>
    <w:rsid w:val="005503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Abigail G</dc:creator>
  <cp:keywords/>
  <dc:description/>
  <cp:lastModifiedBy>Hall, Abigail G</cp:lastModifiedBy>
  <cp:revision>8</cp:revision>
  <dcterms:created xsi:type="dcterms:W3CDTF">2024-08-22T20:48:00Z</dcterms:created>
  <dcterms:modified xsi:type="dcterms:W3CDTF">2025-02-02T22:10:00Z</dcterms:modified>
</cp:coreProperties>
</file>