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IN VITRO ACTIVITY OF MARINOPYRROLE A AND DERIVATIVES ON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white"/>
          <w:rtl w:val="0"/>
        </w:rPr>
        <w:t xml:space="preserve">NAEGLERIA FOWLERI,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PATHOGENIC AMOEBA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Brianna N. Davis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Jeffrey M. Zimmerly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Paul H. Davis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briannadavis@unomaha.edu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1 - Department of Biology, University of Nebraska at Omaha, Omaha, NE 68182</w:t>
      </w:r>
    </w:p>
    <w:p w:rsidR="00000000" w:rsidDel="00000000" w:rsidP="00000000" w:rsidRDefault="00000000" w:rsidRPr="00000000" w14:paraId="0000000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" w:line="250" w:lineRule="auto"/>
        <w:ind w:left="-5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Naegleria fowleri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is a free-living amoeba that causes a rare brain infection known as primary amebic meningoencephalitis with a 95% fatality rate. Though the infections are normally isolated to warmer climates such as the southern United States, the first two cases of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Naegleria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infection in the Midwest occurred in Iowa and Nebraska in 2022 and more are predicted due to the rise in global temperatures. Current drug recommendations have only resulted in 4 out 170 survival cases in the United States, emphasizing the need for drug discovery efforts. Marinopyrrole A, a drug-like small molecule (MW=510.1 g/mol) with broad-spectrum activity against bacteria and at least one protozoan parasite was assessed for activity against pathogenic amoebae. This compound and its derivatives showed promising in vitro activity for two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Naegleria spp.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and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with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Acanthamoeba castellanii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, with inhibitory concentrations less than 10uM for marinopyrrole A and less than 5uM for its derivatives. Further mechanistic testing, especially on its effect on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highlight w:val="white"/>
          <w:rtl w:val="0"/>
        </w:rPr>
        <w:t xml:space="preserve">Naegleria fowleri,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is needed to determine how this compound leads to the inhibition of the amoeba to then optimize the compound before future in vivo studies.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4" w:line="250" w:lineRule="auto"/>
        <w:ind w:left="-5"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4" w:line="250" w:lineRule="auto"/>
        <w:ind w:left="-5"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AA3762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riannadavis@unomah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ZSiQp14gdVggr1Dc6jWyCGtaEA==">CgMxLjA4AHIhMXdOUmwxWndoNnFqUUo5aDQ5Qk9XLUIzOE51c2R5Z1J3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2022-02-25T16:12:00Z</dcterms:created>
  <dc:creator>David Harwood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0x01010059E855C154A78948B96C0C6E5FD94A1B</vt:lpwstr>
  </property>
</Properties>
</file>