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8224" w14:textId="6BB87740" w:rsidR="00B350DE" w:rsidRPr="00841F4B" w:rsidRDefault="00B350DE" w:rsidP="00B350DE">
      <w:pPr>
        <w:jc w:val="center"/>
        <w:rPr>
          <w:b/>
          <w:bCs/>
          <w:sz w:val="28"/>
          <w:szCs w:val="28"/>
        </w:rPr>
      </w:pPr>
      <w:r w:rsidRPr="00841F4B">
        <w:rPr>
          <w:b/>
          <w:bCs/>
          <w:sz w:val="28"/>
          <w:szCs w:val="28"/>
        </w:rPr>
        <w:t xml:space="preserve">Identification of </w:t>
      </w:r>
      <w:r w:rsidRPr="00226EAB">
        <w:rPr>
          <w:b/>
          <w:bCs/>
          <w:sz w:val="28"/>
          <w:szCs w:val="28"/>
        </w:rPr>
        <w:t xml:space="preserve">pyrrole-2-carboxylic acid </w:t>
      </w:r>
      <w:r>
        <w:rPr>
          <w:b/>
          <w:bCs/>
          <w:sz w:val="28"/>
          <w:szCs w:val="28"/>
        </w:rPr>
        <w:t xml:space="preserve">from </w:t>
      </w:r>
      <w:r w:rsidRPr="00841F4B">
        <w:rPr>
          <w:b/>
          <w:bCs/>
          <w:i/>
          <w:iCs/>
          <w:sz w:val="28"/>
          <w:szCs w:val="28"/>
        </w:rPr>
        <w:t>Lysobacter</w:t>
      </w:r>
      <w:r w:rsidRPr="00841F4B">
        <w:rPr>
          <w:b/>
          <w:bCs/>
          <w:sz w:val="28"/>
          <w:szCs w:val="28"/>
        </w:rPr>
        <w:t xml:space="preserve"> involved in </w:t>
      </w:r>
      <w:r>
        <w:rPr>
          <w:b/>
          <w:bCs/>
          <w:sz w:val="28"/>
          <w:szCs w:val="28"/>
        </w:rPr>
        <w:t>interactions with the fusarial fungi</w:t>
      </w:r>
    </w:p>
    <w:p w14:paraId="39EE6D4E" w14:textId="77777777" w:rsidR="00B350DE" w:rsidRDefault="00B350DE" w:rsidP="00B350DE">
      <w:pPr>
        <w:spacing w:after="0"/>
        <w:jc w:val="center"/>
      </w:pPr>
    </w:p>
    <w:p w14:paraId="0AE41518" w14:textId="2C1F2CFD" w:rsidR="00B350DE" w:rsidRPr="00BF6883" w:rsidRDefault="00B350DE" w:rsidP="00B350DE">
      <w:pPr>
        <w:spacing w:after="0"/>
        <w:jc w:val="center"/>
      </w:pPr>
      <w:r w:rsidRPr="00BF6883">
        <w:t>Vishakha Jayasekera</w:t>
      </w:r>
      <w:r w:rsidRPr="00BF6883">
        <w:rPr>
          <w:vertAlign w:val="superscript"/>
        </w:rPr>
        <w:t>1</w:t>
      </w:r>
      <w:r w:rsidRPr="00BF6883">
        <w:t xml:space="preserve">, </w:t>
      </w:r>
      <w:r>
        <w:t>Yong Han</w:t>
      </w:r>
      <w:r w:rsidRPr="00BF6883">
        <w:rPr>
          <w:vertAlign w:val="superscript"/>
        </w:rPr>
        <w:t>2</w:t>
      </w:r>
      <w:r w:rsidRPr="00BF6883">
        <w:t>,</w:t>
      </w:r>
      <w:r>
        <w:t xml:space="preserve"> </w:t>
      </w:r>
      <w:r w:rsidRPr="00BF6883">
        <w:t xml:space="preserve">and </w:t>
      </w:r>
      <w:proofErr w:type="spellStart"/>
      <w:r w:rsidRPr="00BF6883">
        <w:t>Liangcheng</w:t>
      </w:r>
      <w:proofErr w:type="spellEnd"/>
      <w:r w:rsidRPr="00BF6883">
        <w:t xml:space="preserve"> </w:t>
      </w:r>
      <w:proofErr w:type="gramStart"/>
      <w:r w:rsidRPr="00BF6883">
        <w:t>Du*’</w:t>
      </w:r>
      <w:proofErr w:type="gramEnd"/>
      <w:r w:rsidRPr="00BF6883">
        <w:rPr>
          <w:vertAlign w:val="superscript"/>
        </w:rPr>
        <w:t>1</w:t>
      </w:r>
    </w:p>
    <w:p w14:paraId="6B09DF55" w14:textId="77777777" w:rsidR="00B350DE" w:rsidRPr="00BF6883" w:rsidRDefault="00B350DE" w:rsidP="00B350DE">
      <w:pPr>
        <w:spacing w:after="0"/>
        <w:jc w:val="center"/>
      </w:pPr>
    </w:p>
    <w:p w14:paraId="74C9A0C2" w14:textId="77777777" w:rsidR="00B350DE" w:rsidRPr="00BF6883" w:rsidRDefault="00B350DE" w:rsidP="00B350DE">
      <w:pPr>
        <w:spacing w:after="0"/>
        <w:jc w:val="center"/>
      </w:pPr>
      <w:r w:rsidRPr="00BF6883">
        <w:rPr>
          <w:vertAlign w:val="superscript"/>
        </w:rPr>
        <w:t>1</w:t>
      </w:r>
      <w:r w:rsidRPr="00BF6883">
        <w:t>Department of Chemistry, University of Nebraska-Lincoln, Lincoln, NE 68588-0304, USA</w:t>
      </w:r>
    </w:p>
    <w:p w14:paraId="76292D6E" w14:textId="77777777" w:rsidR="00B350DE" w:rsidRPr="00BF6883" w:rsidRDefault="00B350DE" w:rsidP="00B350DE">
      <w:pPr>
        <w:spacing w:after="0"/>
        <w:jc w:val="center"/>
      </w:pPr>
      <w:r w:rsidRPr="00BF6883">
        <w:rPr>
          <w:vertAlign w:val="superscript"/>
        </w:rPr>
        <w:t>2</w:t>
      </w:r>
      <w:r w:rsidRPr="00E13666">
        <w:t>Edison Biotechnology Institute</w:t>
      </w:r>
      <w:r w:rsidRPr="00BF6883">
        <w:t xml:space="preserve">, </w:t>
      </w:r>
      <w:r>
        <w:t>Ohio</w:t>
      </w:r>
      <w:r w:rsidRPr="00BF6883">
        <w:t xml:space="preserve"> University, </w:t>
      </w:r>
      <w:r>
        <w:t>Athens</w:t>
      </w:r>
      <w:r w:rsidRPr="00BF6883">
        <w:t xml:space="preserve">, </w:t>
      </w:r>
      <w:r>
        <w:t>Ohio</w:t>
      </w:r>
      <w:r w:rsidRPr="00BF6883">
        <w:t xml:space="preserve"> </w:t>
      </w:r>
      <w:r>
        <w:t>45701</w:t>
      </w:r>
      <w:r w:rsidRPr="00BF6883">
        <w:t xml:space="preserve">, </w:t>
      </w:r>
      <w:r>
        <w:t xml:space="preserve"> USA</w:t>
      </w:r>
      <w:r w:rsidRPr="00BF6883">
        <w:br/>
      </w:r>
    </w:p>
    <w:p w14:paraId="24C0D803" w14:textId="77777777" w:rsidR="00B350DE" w:rsidRPr="00BF6883" w:rsidRDefault="00B350DE" w:rsidP="00B350DE">
      <w:pPr>
        <w:spacing w:after="0"/>
        <w:jc w:val="center"/>
      </w:pPr>
      <w:r w:rsidRPr="00BF6883">
        <w:t xml:space="preserve">*Correspondence: </w:t>
      </w:r>
      <w:hyperlink r:id="rId4" w:history="1">
        <w:r w:rsidRPr="00BF6883">
          <w:rPr>
            <w:rStyle w:val="Hyperlink"/>
          </w:rPr>
          <w:t>ldu3@unl.edu</w:t>
        </w:r>
      </w:hyperlink>
    </w:p>
    <w:p w14:paraId="25275DFC" w14:textId="77777777" w:rsidR="00B350DE" w:rsidRDefault="00B350DE" w:rsidP="00B350DE">
      <w:pPr>
        <w:spacing w:after="0"/>
        <w:jc w:val="both"/>
      </w:pPr>
    </w:p>
    <w:p w14:paraId="1C470DB2" w14:textId="77777777" w:rsidR="00B350DE" w:rsidRDefault="00B350DE" w:rsidP="00B350DE">
      <w:pPr>
        <w:spacing w:after="0"/>
        <w:jc w:val="both"/>
      </w:pPr>
    </w:p>
    <w:p w14:paraId="62E5312C" w14:textId="3D7AAEF7" w:rsidR="00B350DE" w:rsidRDefault="00B350DE" w:rsidP="00B350DE">
      <w:pPr>
        <w:spacing w:after="0"/>
        <w:jc w:val="both"/>
      </w:pPr>
      <w:r w:rsidRPr="00F80544">
        <w:t xml:space="preserve">The Gram-negative bacteria </w:t>
      </w:r>
      <w:r w:rsidRPr="0067714F">
        <w:rPr>
          <w:i/>
          <w:iCs/>
        </w:rPr>
        <w:t>Lysobacter</w:t>
      </w:r>
      <w:r w:rsidRPr="00F80544">
        <w:t xml:space="preserve"> are prolific producers of antibiotic products, making them an emerging group of biocontrol agents, especially for </w:t>
      </w:r>
      <w:r>
        <w:t xml:space="preserve">agricultural </w:t>
      </w:r>
      <w:r w:rsidRPr="00F80544">
        <w:t xml:space="preserve">pathogens. As a part of the soil microbiome, </w:t>
      </w:r>
      <w:r w:rsidRPr="0067714F">
        <w:rPr>
          <w:i/>
          <w:iCs/>
        </w:rPr>
        <w:t>Lysobacter</w:t>
      </w:r>
      <w:r w:rsidRPr="00F80544">
        <w:t xml:space="preserve"> species co-</w:t>
      </w:r>
      <w:r>
        <w:t>exist</w:t>
      </w:r>
      <w:r w:rsidRPr="00F80544">
        <w:t xml:space="preserve"> with a variety of organisms in the ecosystem, such as fungi, nematodes, and other bacteria. </w:t>
      </w:r>
      <w:r w:rsidRPr="0067714F">
        <w:rPr>
          <w:i/>
          <w:iCs/>
        </w:rPr>
        <w:t>Lysobacter</w:t>
      </w:r>
      <w:r w:rsidRPr="00F80544">
        <w:t xml:space="preserve"> are known for their predatory behavior, which is linked to their production of lytic and several other extracellular enzymes.</w:t>
      </w:r>
      <w:r>
        <w:t xml:space="preserve"> </w:t>
      </w:r>
      <w:r w:rsidRPr="00F80544">
        <w:t xml:space="preserve">Despite their potential, little is known about the molecular mechanisms underlying the interactions between </w:t>
      </w:r>
      <w:r w:rsidRPr="0067714F">
        <w:rPr>
          <w:i/>
          <w:iCs/>
        </w:rPr>
        <w:t xml:space="preserve">Lysobacter </w:t>
      </w:r>
      <w:r w:rsidRPr="00F80544">
        <w:t xml:space="preserve">and other organisms. Therefore, here we studied the interactions between </w:t>
      </w:r>
      <w:r w:rsidRPr="0067714F">
        <w:rPr>
          <w:i/>
          <w:iCs/>
        </w:rPr>
        <w:t xml:space="preserve">Lysobacter </w:t>
      </w:r>
      <w:r w:rsidRPr="0067714F">
        <w:t>sp</w:t>
      </w:r>
      <w:r w:rsidRPr="00F80544">
        <w:t xml:space="preserve">. 3655 and two economically important fungal pathogens, </w:t>
      </w:r>
      <w:r w:rsidRPr="0067714F">
        <w:rPr>
          <w:i/>
          <w:iCs/>
        </w:rPr>
        <w:t>Fusarium graminearum</w:t>
      </w:r>
      <w:r w:rsidRPr="00F80544">
        <w:t xml:space="preserve"> and </w:t>
      </w:r>
      <w:r w:rsidRPr="0067714F">
        <w:rPr>
          <w:i/>
          <w:iCs/>
        </w:rPr>
        <w:t>Fusarium verticillioides</w:t>
      </w:r>
      <w:r w:rsidRPr="00F80544">
        <w:t>.</w:t>
      </w:r>
      <w:r>
        <w:t xml:space="preserve"> </w:t>
      </w:r>
      <w:r w:rsidRPr="00F80544">
        <w:t xml:space="preserve">A co-culture technique </w:t>
      </w:r>
      <w:r>
        <w:t xml:space="preserve">employing a </w:t>
      </w:r>
      <w:r w:rsidRPr="00F80544">
        <w:t>dialysis tubing membrane was</w:t>
      </w:r>
      <w:r>
        <w:t xml:space="preserve"> </w:t>
      </w:r>
      <w:r w:rsidRPr="00F80544">
        <w:t>implemented to physically separate the two organisms</w:t>
      </w:r>
      <w:r>
        <w:t>.</w:t>
      </w:r>
    </w:p>
    <w:p w14:paraId="521602A7" w14:textId="4135179C" w:rsidR="00B350DE" w:rsidRDefault="00B350DE" w:rsidP="00B350DE">
      <w:pPr>
        <w:spacing w:after="0"/>
        <w:jc w:val="both"/>
      </w:pPr>
      <w:r>
        <w:t xml:space="preserve">We discovered a </w:t>
      </w:r>
      <w:r w:rsidRPr="009D0D7F">
        <w:rPr>
          <w:i/>
          <w:iCs/>
        </w:rPr>
        <w:t>Lysobacter</w:t>
      </w:r>
      <w:r>
        <w:t xml:space="preserve"> metabolite that is dramatically suppressed when co-cultured with fungi, and the structure of this molecule was determined to be pyrrole-2-carboxylic acid (P2C). We found that chitin, the </w:t>
      </w:r>
      <w:r w:rsidRPr="00CE0DDC">
        <w:rPr>
          <w:i/>
          <w:iCs/>
        </w:rPr>
        <w:t>N</w:t>
      </w:r>
      <w:r w:rsidRPr="00CE0DDC">
        <w:t>-acetylglucosamine</w:t>
      </w:r>
      <w:r>
        <w:t xml:space="preserve"> polymer that makes up</w:t>
      </w:r>
      <w:r w:rsidRPr="00CE0DDC">
        <w:t xml:space="preserve"> </w:t>
      </w:r>
      <w:r>
        <w:t xml:space="preserve">the fungal cell walls, also significantly reduced P2C production in </w:t>
      </w:r>
      <w:r w:rsidRPr="00CE0DDC">
        <w:rPr>
          <w:i/>
          <w:iCs/>
        </w:rPr>
        <w:t>Lysobacter</w:t>
      </w:r>
      <w:r>
        <w:t>.</w:t>
      </w:r>
      <w:r>
        <w:t xml:space="preserve"> </w:t>
      </w:r>
      <w:r w:rsidRPr="008E75BF">
        <w:t>Further evidence indicated that P2C was converted into proline</w:t>
      </w:r>
      <w:r>
        <w:t>, a well-known stress modulator</w:t>
      </w:r>
      <w:r w:rsidRPr="00D1123F">
        <w:t xml:space="preserve"> </w:t>
      </w:r>
      <w:r>
        <w:t xml:space="preserve">that enables the producing organisms to tolerate stress (e.g. fungi and chitin as biotic and abiotic stress factors for </w:t>
      </w:r>
      <w:r w:rsidRPr="00B03E45">
        <w:rPr>
          <w:i/>
          <w:iCs/>
        </w:rPr>
        <w:t>Lysobacter</w:t>
      </w:r>
      <w:r>
        <w:t xml:space="preserve">) and activate self-regulatory mechanisms. When exogenously added to bacterial cultures, P2C inhibited bacterial growth only in a specific concentration range, implying that P2C could function as a signaling molecule. This was supported by </w:t>
      </w:r>
      <w:r w:rsidRPr="00817480">
        <w:t>P2C</w:t>
      </w:r>
      <w:r>
        <w:t>’s effect</w:t>
      </w:r>
      <w:r w:rsidRPr="00817480">
        <w:t xml:space="preserve"> on the production of</w:t>
      </w:r>
      <w:r>
        <w:t xml:space="preserve"> another group of natural products,</w:t>
      </w:r>
      <w:r w:rsidRPr="00817480">
        <w:t xml:space="preserve"> heat stable antifungal factor (HSAF) and analogs </w:t>
      </w:r>
      <w:r>
        <w:t>in</w:t>
      </w:r>
      <w:r w:rsidRPr="00817480">
        <w:t xml:space="preserve"> </w:t>
      </w:r>
      <w:r w:rsidRPr="00817480">
        <w:rPr>
          <w:i/>
          <w:iCs/>
        </w:rPr>
        <w:t>Lysobacter enzymogenes</w:t>
      </w:r>
      <w:r w:rsidRPr="00817480">
        <w:t xml:space="preserve"> OH11</w:t>
      </w:r>
      <w:r>
        <w:t xml:space="preserve">, in which </w:t>
      </w:r>
      <w:r w:rsidRPr="000443CD">
        <w:t xml:space="preserve">P2C </w:t>
      </w:r>
      <w:r>
        <w:t>clearly suppressed the antifungal compounds.</w:t>
      </w:r>
      <w:r w:rsidRPr="000443CD">
        <w:t xml:space="preserve"> </w:t>
      </w:r>
      <w:r>
        <w:t>This is an indication of P2C acting as a negative regulatory molecule.</w:t>
      </w:r>
    </w:p>
    <w:p w14:paraId="645C0219" w14:textId="77777777" w:rsidR="00B350DE" w:rsidRDefault="00B350DE" w:rsidP="00B350DE">
      <w:pPr>
        <w:spacing w:after="0"/>
        <w:jc w:val="both"/>
      </w:pPr>
    </w:p>
    <w:p w14:paraId="3170B15D" w14:textId="77777777" w:rsidR="00B350DE" w:rsidRDefault="00B350DE" w:rsidP="00B350DE">
      <w:pPr>
        <w:spacing w:after="0"/>
        <w:jc w:val="both"/>
      </w:pPr>
      <w:r>
        <w:t xml:space="preserve">Together, the results unveil </w:t>
      </w:r>
      <w:r w:rsidRPr="000443CD">
        <w:t>P2C</w:t>
      </w:r>
      <w:r>
        <w:t xml:space="preserve"> as a new signal involved in the crosstalk between the environmental bacteria </w:t>
      </w:r>
      <w:r w:rsidRPr="001B1C02">
        <w:rPr>
          <w:i/>
          <w:iCs/>
        </w:rPr>
        <w:t>Lysobacter</w:t>
      </w:r>
      <w:r>
        <w:t xml:space="preserve"> and the surrounding fungal species. </w:t>
      </w:r>
    </w:p>
    <w:p w14:paraId="1DC26C41" w14:textId="77777777" w:rsidR="002930EB" w:rsidRDefault="002930EB"/>
    <w:sectPr w:rsidR="00293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11"/>
    <w:rsid w:val="0002511B"/>
    <w:rsid w:val="000855BD"/>
    <w:rsid w:val="002930EB"/>
    <w:rsid w:val="00445422"/>
    <w:rsid w:val="00621546"/>
    <w:rsid w:val="008A01F8"/>
    <w:rsid w:val="008D6065"/>
    <w:rsid w:val="00B26A23"/>
    <w:rsid w:val="00B350DE"/>
    <w:rsid w:val="00B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F774"/>
  <w15:chartTrackingRefBased/>
  <w15:docId w15:val="{B29E5E0F-AD4F-43C8-A711-E49BF817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DE"/>
  </w:style>
  <w:style w:type="paragraph" w:styleId="Heading1">
    <w:name w:val="heading 1"/>
    <w:basedOn w:val="Normal"/>
    <w:next w:val="Normal"/>
    <w:link w:val="Heading1Char"/>
    <w:uiPriority w:val="9"/>
    <w:qFormat/>
    <w:rsid w:val="00BF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4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50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du3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Vishakha Jayasekera</dc:creator>
  <cp:keywords/>
  <dc:description/>
  <cp:lastModifiedBy>Vishakha Jayasekera</cp:lastModifiedBy>
  <cp:revision>4</cp:revision>
  <dcterms:created xsi:type="dcterms:W3CDTF">2025-02-25T18:44:00Z</dcterms:created>
  <dcterms:modified xsi:type="dcterms:W3CDTF">2025-02-25T18:47:00Z</dcterms:modified>
</cp:coreProperties>
</file>