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6BA40B" w:rsidP="40A1C92D" w:rsidRDefault="696BA40B" w14:paraId="4D284215" w14:textId="0D5703BA">
      <w:pPr>
        <w:rPr>
          <w:rFonts w:ascii="Times New Roman" w:hAnsi="Times New Roman" w:eastAsia="Times New Roman" w:cs="Times New Roman"/>
          <w:b w:val="1"/>
          <w:bCs w:val="1"/>
        </w:rPr>
      </w:pPr>
      <w:r w:rsidRPr="40A1C92D" w:rsidR="696BA40B">
        <w:rPr>
          <w:rFonts w:ascii="Times New Roman" w:hAnsi="Times New Roman" w:eastAsia="Times New Roman" w:cs="Times New Roman"/>
          <w:b w:val="1"/>
          <w:bCs w:val="1"/>
        </w:rPr>
        <w:t>PORCINE SCAPULAE AS A PROXY FOR HUMAN CANIA IN MECHANICAL TESTING</w:t>
      </w:r>
    </w:p>
    <w:p w:rsidR="42F5136D" w:rsidP="4E53102B" w:rsidRDefault="42F5136D" w14:paraId="2FB150B1" w14:textId="25BAB9E9">
      <w:pPr>
        <w:ind w:firstLine="720"/>
        <w:rPr>
          <w:rFonts w:ascii="Times New Roman" w:hAnsi="Times New Roman" w:eastAsia="Times New Roman" w:cs="Times New Roman"/>
          <w:b w:val="1"/>
          <w:bCs w:val="1"/>
        </w:rPr>
      </w:pPr>
      <w:r w:rsidRPr="4E53102B" w:rsidR="42F5136D">
        <w:rPr>
          <w:rFonts w:ascii="Times New Roman" w:hAnsi="Times New Roman" w:eastAsia="Times New Roman" w:cs="Times New Roman"/>
          <w:b w:val="0"/>
          <w:bCs w:val="0"/>
          <w:u w:val="single"/>
        </w:rPr>
        <w:t>Alex E. Curry</w:t>
      </w:r>
      <w:r w:rsidRPr="4E53102B" w:rsidR="42F5136D">
        <w:rPr>
          <w:rFonts w:ascii="Times New Roman" w:hAnsi="Times New Roman" w:eastAsia="Times New Roman" w:cs="Times New Roman"/>
          <w:b w:val="0"/>
          <w:bCs w:val="0"/>
          <w:vertAlign w:val="superscript"/>
        </w:rPr>
        <w:t>1</w:t>
      </w:r>
      <w:r w:rsidRPr="4E53102B" w:rsidR="42F5136D">
        <w:rPr>
          <w:rFonts w:ascii="Times New Roman" w:hAnsi="Times New Roman" w:eastAsia="Times New Roman" w:cs="Times New Roman"/>
          <w:b w:val="0"/>
          <w:bCs w:val="0"/>
        </w:rPr>
        <w:t xml:space="preserve">, </w:t>
      </w:r>
      <w:hyperlink r:id="R989f3d4c12394412">
        <w:r w:rsidRPr="4E53102B" w:rsidR="42F5136D">
          <w:rPr>
            <w:rStyle w:val="Hyperlink"/>
            <w:rFonts w:ascii="Times New Roman" w:hAnsi="Times New Roman" w:eastAsia="Times New Roman" w:cs="Times New Roman"/>
            <w:b w:val="0"/>
            <w:bCs w:val="0"/>
          </w:rPr>
          <w:t>acurry13@unl.edu</w:t>
        </w:r>
      </w:hyperlink>
    </w:p>
    <w:p w:rsidR="4E53102B" w:rsidP="7BCE7004" w:rsidRDefault="4E53102B" w14:paraId="0ADB1883" w14:textId="3D105614">
      <w:pPr>
        <w:pStyle w:val="Normal"/>
        <w:ind w:firstLine="720"/>
        <w:rPr>
          <w:rFonts w:ascii="Times New Roman" w:hAnsi="Times New Roman" w:eastAsia="Times New Roman" w:cs="Times New Roman"/>
          <w:b w:val="0"/>
          <w:bCs w:val="0"/>
          <w:sz w:val="24"/>
          <w:szCs w:val="24"/>
        </w:rPr>
      </w:pPr>
      <w:r w:rsidRPr="7BCE7004" w:rsidR="4E53102B">
        <w:rPr>
          <w:rFonts w:ascii="Times New Roman" w:hAnsi="Times New Roman" w:eastAsia="Times New Roman" w:cs="Times New Roman"/>
          <w:b w:val="0"/>
          <w:bCs w:val="0"/>
        </w:rPr>
        <w:t>1</w:t>
      </w:r>
      <w:r w:rsidRPr="7BCE7004" w:rsidR="69E213CD">
        <w:rPr>
          <w:rFonts w:ascii="Times New Roman" w:hAnsi="Times New Roman" w:eastAsia="Times New Roman" w:cs="Times New Roman"/>
          <w:b w:val="0"/>
          <w:bCs w:val="0"/>
        </w:rPr>
        <w:t xml:space="preserve"> - </w:t>
      </w:r>
      <w:r w:rsidRPr="7BCE7004" w:rsidR="42F5136D">
        <w:rPr>
          <w:rFonts w:ascii="Times New Roman" w:hAnsi="Times New Roman" w:eastAsia="Times New Roman" w:cs="Times New Roman"/>
          <w:b w:val="0"/>
          <w:bCs w:val="0"/>
        </w:rPr>
        <w:t>Department of Anthropology, University of Nebraska-Lincoln, Lincoln, NE:</w:t>
      </w:r>
    </w:p>
    <w:p w:rsidR="4E53102B" w:rsidP="7BCE7004" w:rsidRDefault="4E53102B" w14:paraId="296AAC21" w14:textId="4CDCABD4">
      <w:pPr>
        <w:suppressLineNumbers w:val="0"/>
        <w:bidi w:val="0"/>
        <w:spacing w:before="240" w:beforeAutospacing="off" w:after="240" w:afterAutospacing="off" w:line="279" w:lineRule="auto"/>
        <w:ind/>
        <w:jc w:val="left"/>
      </w:pPr>
      <w:r w:rsidRPr="7BCE7004" w:rsidR="6C350D50">
        <w:rPr>
          <w:rFonts w:ascii="Times New Roman" w:hAnsi="Times New Roman" w:eastAsia="Times New Roman" w:cs="Times New Roman"/>
          <w:noProof w:val="0"/>
          <w:sz w:val="24"/>
          <w:szCs w:val="24"/>
          <w:lang w:val="en-US"/>
        </w:rPr>
        <w:t xml:space="preserve">This study's </w:t>
      </w:r>
      <w:r w:rsidRPr="7BCE7004" w:rsidR="6C350D50">
        <w:rPr>
          <w:rFonts w:ascii="Times New Roman" w:hAnsi="Times New Roman" w:eastAsia="Times New Roman" w:cs="Times New Roman"/>
          <w:noProof w:val="0"/>
          <w:sz w:val="24"/>
          <w:szCs w:val="24"/>
          <w:lang w:val="en-US"/>
        </w:rPr>
        <w:t>objective</w:t>
      </w:r>
      <w:r w:rsidRPr="7BCE7004" w:rsidR="6C350D50">
        <w:rPr>
          <w:rFonts w:ascii="Times New Roman" w:hAnsi="Times New Roman" w:eastAsia="Times New Roman" w:cs="Times New Roman"/>
          <w:noProof w:val="0"/>
          <w:sz w:val="24"/>
          <w:szCs w:val="24"/>
          <w:lang w:val="en-US"/>
        </w:rPr>
        <w:t xml:space="preserve"> is to </w:t>
      </w:r>
      <w:r w:rsidRPr="7BCE7004" w:rsidR="6C350D50">
        <w:rPr>
          <w:rFonts w:ascii="Times New Roman" w:hAnsi="Times New Roman" w:eastAsia="Times New Roman" w:cs="Times New Roman"/>
          <w:noProof w:val="0"/>
          <w:sz w:val="24"/>
          <w:szCs w:val="24"/>
          <w:lang w:val="en-US"/>
        </w:rPr>
        <w:t>largely serve</w:t>
      </w:r>
      <w:r w:rsidRPr="7BCE7004" w:rsidR="6C350D50">
        <w:rPr>
          <w:rFonts w:ascii="Times New Roman" w:hAnsi="Times New Roman" w:eastAsia="Times New Roman" w:cs="Times New Roman"/>
          <w:noProof w:val="0"/>
          <w:sz w:val="24"/>
          <w:szCs w:val="24"/>
          <w:lang w:val="en-US"/>
        </w:rPr>
        <w:t xml:space="preserve"> as a literature review of current information </w:t>
      </w:r>
      <w:r w:rsidRPr="7BCE7004" w:rsidR="6C350D50">
        <w:rPr>
          <w:rFonts w:ascii="Times New Roman" w:hAnsi="Times New Roman" w:eastAsia="Times New Roman" w:cs="Times New Roman"/>
          <w:noProof w:val="0"/>
          <w:sz w:val="24"/>
          <w:szCs w:val="24"/>
          <w:lang w:val="en-US"/>
        </w:rPr>
        <w:t>regarding</w:t>
      </w:r>
      <w:r w:rsidRPr="7BCE7004" w:rsidR="6C350D50">
        <w:rPr>
          <w:rFonts w:ascii="Times New Roman" w:hAnsi="Times New Roman" w:eastAsia="Times New Roman" w:cs="Times New Roman"/>
          <w:noProof w:val="0"/>
          <w:sz w:val="24"/>
          <w:szCs w:val="24"/>
          <w:lang w:val="en-US"/>
        </w:rPr>
        <w:t xml:space="preserve"> porcine scapulae and human crania morphometrics and behavior under mechanical testing. Surprisingly, little information is published about the morphometrics of pig scapulae, but luckily two little-known articles from Øyvind Nordbø in 2020 and Nordbø et al. In 2018 provide most of the information forensic anthropologists would </w:t>
      </w:r>
      <w:r w:rsidRPr="7BCE7004" w:rsidR="6C350D50">
        <w:rPr>
          <w:rFonts w:ascii="Times New Roman" w:hAnsi="Times New Roman" w:eastAsia="Times New Roman" w:cs="Times New Roman"/>
          <w:noProof w:val="0"/>
          <w:sz w:val="24"/>
          <w:szCs w:val="24"/>
          <w:lang w:val="en-US"/>
        </w:rPr>
        <w:t>likely want</w:t>
      </w:r>
      <w:r w:rsidRPr="7BCE7004" w:rsidR="6C350D50">
        <w:rPr>
          <w:rFonts w:ascii="Times New Roman" w:hAnsi="Times New Roman" w:eastAsia="Times New Roman" w:cs="Times New Roman"/>
          <w:noProof w:val="0"/>
          <w:sz w:val="24"/>
          <w:szCs w:val="24"/>
          <w:lang w:val="en-US"/>
        </w:rPr>
        <w:t xml:space="preserve"> to know </w:t>
      </w:r>
      <w:r w:rsidRPr="7BCE7004" w:rsidR="6C350D50">
        <w:rPr>
          <w:rFonts w:ascii="Times New Roman" w:hAnsi="Times New Roman" w:eastAsia="Times New Roman" w:cs="Times New Roman"/>
          <w:noProof w:val="0"/>
          <w:sz w:val="24"/>
          <w:szCs w:val="24"/>
          <w:lang w:val="en-US"/>
        </w:rPr>
        <w:t>regarding</w:t>
      </w:r>
      <w:r w:rsidRPr="7BCE7004" w:rsidR="6C350D50">
        <w:rPr>
          <w:rFonts w:ascii="Times New Roman" w:hAnsi="Times New Roman" w:eastAsia="Times New Roman" w:cs="Times New Roman"/>
          <w:noProof w:val="0"/>
          <w:sz w:val="24"/>
          <w:szCs w:val="24"/>
          <w:lang w:val="en-US"/>
        </w:rPr>
        <w:t xml:space="preserve"> porcine scapulae morphology. </w:t>
      </w:r>
      <w:r w:rsidRPr="7BCE7004" w:rsidR="6C350D50">
        <w:rPr>
          <w:rFonts w:ascii="Times New Roman" w:hAnsi="Times New Roman" w:eastAsia="Times New Roman" w:cs="Times New Roman"/>
          <w:noProof w:val="0"/>
          <w:sz w:val="24"/>
          <w:szCs w:val="24"/>
          <w:lang w:val="en-US"/>
        </w:rPr>
        <w:t>Identifying</w:t>
      </w:r>
      <w:r w:rsidRPr="7BCE7004" w:rsidR="6C350D50">
        <w:rPr>
          <w:rFonts w:ascii="Times New Roman" w:hAnsi="Times New Roman" w:eastAsia="Times New Roman" w:cs="Times New Roman"/>
          <w:noProof w:val="0"/>
          <w:sz w:val="24"/>
          <w:szCs w:val="24"/>
          <w:lang w:val="en-US"/>
        </w:rPr>
        <w:t xml:space="preserve"> areas of maximum and minimum thickness as well as noting the typical placement of contours that would affect behavior under mechanical testing [1]. This, in conjunction with the work of Rickman &amp; </w:t>
      </w:r>
      <w:r w:rsidRPr="7BCE7004" w:rsidR="6C350D50">
        <w:rPr>
          <w:rFonts w:ascii="Times New Roman" w:hAnsi="Times New Roman" w:eastAsia="Times New Roman" w:cs="Times New Roman"/>
          <w:noProof w:val="0"/>
          <w:sz w:val="24"/>
          <w:szCs w:val="24"/>
          <w:lang w:val="en-US"/>
        </w:rPr>
        <w:t>Shackel</w:t>
      </w:r>
      <w:r w:rsidRPr="7BCE7004" w:rsidR="6C350D50">
        <w:rPr>
          <w:rFonts w:ascii="Times New Roman" w:hAnsi="Times New Roman" w:eastAsia="Times New Roman" w:cs="Times New Roman"/>
          <w:noProof w:val="0"/>
          <w:sz w:val="24"/>
          <w:szCs w:val="24"/>
          <w:lang w:val="en-US"/>
        </w:rPr>
        <w:t xml:space="preserve"> in 2018 assessing the formation of crack propagation on porcine scapulae, not only provides the relevant morphometrics but also relevant mechanical testing data to back it up [2]. </w:t>
      </w:r>
      <w:r w:rsidRPr="7BCE7004" w:rsidR="6C350D50">
        <w:rPr>
          <w:rFonts w:ascii="Times New Roman" w:hAnsi="Times New Roman" w:eastAsia="Times New Roman" w:cs="Times New Roman"/>
          <w:noProof w:val="0"/>
          <w:sz w:val="24"/>
          <w:szCs w:val="24"/>
          <w:lang w:val="en-US"/>
        </w:rPr>
        <w:t>However, more pressing to this research subject is the compositional similarities of human and porcine flat bone.</w:t>
      </w:r>
      <w:r w:rsidRPr="7BCE7004" w:rsidR="6C350D50">
        <w:rPr>
          <w:rFonts w:ascii="Times New Roman" w:hAnsi="Times New Roman" w:eastAsia="Times New Roman" w:cs="Times New Roman"/>
          <w:noProof w:val="0"/>
          <w:sz w:val="24"/>
          <w:szCs w:val="24"/>
          <w:lang w:val="en-US"/>
        </w:rPr>
        <w:t xml:space="preserve"> Human flat bone composition is documented extensively with articles like Lynnerup et al. 2005 going as far as documenting the ratio of diploic space in human crania and its variation with age, sex, and general morphology [3]. Porcine flat bone composition however is scant reported on, with Nordbø 2020 being the closest we get in terms of finding any detail on overall composition. Exposing a critical gap in the field, as many articles and experiments </w:t>
      </w:r>
      <w:r w:rsidRPr="7BCE7004" w:rsidR="6C350D50">
        <w:rPr>
          <w:rFonts w:ascii="Times New Roman" w:hAnsi="Times New Roman" w:eastAsia="Times New Roman" w:cs="Times New Roman"/>
          <w:noProof w:val="0"/>
          <w:sz w:val="24"/>
          <w:szCs w:val="24"/>
          <w:lang w:val="en-US"/>
        </w:rPr>
        <w:t>operate</w:t>
      </w:r>
      <w:r w:rsidRPr="7BCE7004" w:rsidR="6C350D50">
        <w:rPr>
          <w:rFonts w:ascii="Times New Roman" w:hAnsi="Times New Roman" w:eastAsia="Times New Roman" w:cs="Times New Roman"/>
          <w:noProof w:val="0"/>
          <w:sz w:val="24"/>
          <w:szCs w:val="24"/>
          <w:lang w:val="en-US"/>
        </w:rPr>
        <w:t xml:space="preserve"> under the assumption that porcine flat bone and human flat bone are structurally similar without having any actual citation or experiment to reinforce that point. This presentation serves not only to show the scientific community the currently available information regarding porcine scapulae as a proxy for human bone in mechanical testing, but also to expose the fact that little is published about the ratio and function of diploic space in these porcine bones as they compare with humans, and while overall structure and appearance remain similar, it is still worth researching and, more importantly, documenting how this porcine diploe behaves when serving as a proxy.</w:t>
      </w:r>
    </w:p>
    <w:p w:rsidR="6DCE97B8" w:rsidP="4E53102B" w:rsidRDefault="6DCE97B8" w14:paraId="62C381E8" w14:textId="1A5005F3">
      <w:pPr>
        <w:pStyle w:val="Normal"/>
        <w:suppressLineNumbers w:val="0"/>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r w:rsidRPr="4E53102B" w:rsidR="6DCE97B8">
        <w:rPr>
          <w:rFonts w:ascii="Times New Roman" w:hAnsi="Times New Roman" w:eastAsia="Times New Roman" w:cs="Times New Roman"/>
          <w:b w:val="1"/>
          <w:bCs w:val="1"/>
          <w:i w:val="0"/>
          <w:iCs w:val="0"/>
          <w:caps w:val="0"/>
          <w:smallCaps w:val="0"/>
          <w:noProof w:val="0"/>
          <w:color w:val="auto"/>
          <w:sz w:val="24"/>
          <w:szCs w:val="24"/>
          <w:lang w:val="en-US"/>
        </w:rPr>
        <w:t>1.</w:t>
      </w:r>
      <w:r w:rsidRPr="4E53102B" w:rsidR="6DCE97B8">
        <w:rPr>
          <w:rFonts w:ascii="Times New Roman" w:hAnsi="Times New Roman" w:eastAsia="Times New Roman" w:cs="Times New Roman"/>
          <w:noProof w:val="0"/>
          <w:sz w:val="24"/>
          <w:szCs w:val="24"/>
          <w:lang w:val="en-US"/>
        </w:rPr>
        <w:t xml:space="preserve"> Nordbø, Ø. (2020). Modelling the shape of the pig scapula. </w:t>
      </w:r>
      <w:r w:rsidRPr="4E53102B" w:rsidR="6DCE97B8">
        <w:rPr>
          <w:rFonts w:ascii="Times New Roman" w:hAnsi="Times New Roman" w:eastAsia="Times New Roman" w:cs="Times New Roman"/>
          <w:i w:val="1"/>
          <w:iCs w:val="1"/>
          <w:noProof w:val="0"/>
          <w:sz w:val="24"/>
          <w:szCs w:val="24"/>
          <w:lang w:val="en-US"/>
        </w:rPr>
        <w:t>Genetics Selection Evolution</w:t>
      </w:r>
      <w:r w:rsidRPr="4E53102B" w:rsidR="6DCE97B8">
        <w:rPr>
          <w:rFonts w:ascii="Times New Roman" w:hAnsi="Times New Roman" w:eastAsia="Times New Roman" w:cs="Times New Roman"/>
          <w:noProof w:val="0"/>
          <w:sz w:val="24"/>
          <w:szCs w:val="24"/>
          <w:lang w:val="en-US"/>
        </w:rPr>
        <w:t xml:space="preserve">, </w:t>
      </w:r>
      <w:r w:rsidRPr="4E53102B" w:rsidR="6DCE97B8">
        <w:rPr>
          <w:rFonts w:ascii="Times New Roman" w:hAnsi="Times New Roman" w:eastAsia="Times New Roman" w:cs="Times New Roman"/>
          <w:i w:val="1"/>
          <w:iCs w:val="1"/>
          <w:noProof w:val="0"/>
          <w:sz w:val="24"/>
          <w:szCs w:val="24"/>
          <w:lang w:val="en-US"/>
        </w:rPr>
        <w:t>52</w:t>
      </w:r>
      <w:r w:rsidRPr="4E53102B" w:rsidR="6DCE97B8">
        <w:rPr>
          <w:rFonts w:ascii="Times New Roman" w:hAnsi="Times New Roman" w:eastAsia="Times New Roman" w:cs="Times New Roman"/>
          <w:noProof w:val="0"/>
          <w:sz w:val="24"/>
          <w:szCs w:val="24"/>
          <w:lang w:val="en-US"/>
        </w:rPr>
        <w:t xml:space="preserve">(1). </w:t>
      </w:r>
      <w:hyperlink r:id="R8278f2ab853943ff">
        <w:r w:rsidRPr="4E53102B" w:rsidR="6DCE97B8">
          <w:rPr>
            <w:rStyle w:val="Hyperlink"/>
            <w:rFonts w:ascii="Times New Roman" w:hAnsi="Times New Roman" w:eastAsia="Times New Roman" w:cs="Times New Roman"/>
            <w:noProof w:val="0"/>
            <w:sz w:val="24"/>
            <w:szCs w:val="24"/>
            <w:lang w:val="en-US"/>
          </w:rPr>
          <w:t>https://doi.org/10.1186/s12711-020-00555-5</w:t>
        </w:r>
      </w:hyperlink>
    </w:p>
    <w:p w:rsidR="07ACABA5" w:rsidP="4E53102B" w:rsidRDefault="07ACABA5" w14:paraId="023DD13C" w14:textId="1194B93E">
      <w:pPr>
        <w:pStyle w:val="Normal"/>
        <w:suppressLineNumbers w:val="0"/>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r w:rsidRPr="4E53102B" w:rsidR="07ACABA5">
        <w:rPr>
          <w:rFonts w:ascii="Times New Roman" w:hAnsi="Times New Roman" w:eastAsia="Times New Roman" w:cs="Times New Roman"/>
          <w:noProof w:val="0"/>
          <w:sz w:val="24"/>
          <w:szCs w:val="24"/>
          <w:lang w:val="en-US"/>
        </w:rPr>
        <w:t xml:space="preserve">2. Rickman, J. M., &amp; </w:t>
      </w:r>
      <w:r w:rsidRPr="4E53102B" w:rsidR="07ACABA5">
        <w:rPr>
          <w:rFonts w:ascii="Times New Roman" w:hAnsi="Times New Roman" w:eastAsia="Times New Roman" w:cs="Times New Roman"/>
          <w:noProof w:val="0"/>
          <w:sz w:val="24"/>
          <w:szCs w:val="24"/>
          <w:lang w:val="en-US"/>
        </w:rPr>
        <w:t>Shackel</w:t>
      </w:r>
      <w:r w:rsidRPr="4E53102B" w:rsidR="07ACABA5">
        <w:rPr>
          <w:rFonts w:ascii="Times New Roman" w:hAnsi="Times New Roman" w:eastAsia="Times New Roman" w:cs="Times New Roman"/>
          <w:noProof w:val="0"/>
          <w:sz w:val="24"/>
          <w:szCs w:val="24"/>
          <w:lang w:val="en-US"/>
        </w:rPr>
        <w:t xml:space="preserve">, J. (2018). A novel hypothesis for the formation of conoidal projectile wounds in Sandwich Bones. </w:t>
      </w:r>
      <w:r w:rsidRPr="4E53102B" w:rsidR="07ACABA5">
        <w:rPr>
          <w:rFonts w:ascii="Times New Roman" w:hAnsi="Times New Roman" w:eastAsia="Times New Roman" w:cs="Times New Roman"/>
          <w:i w:val="1"/>
          <w:iCs w:val="1"/>
          <w:noProof w:val="0"/>
          <w:sz w:val="24"/>
          <w:szCs w:val="24"/>
          <w:lang w:val="en-US"/>
        </w:rPr>
        <w:t>International Journal of Legal Medicine</w:t>
      </w:r>
      <w:r w:rsidRPr="4E53102B" w:rsidR="07ACABA5">
        <w:rPr>
          <w:rFonts w:ascii="Times New Roman" w:hAnsi="Times New Roman" w:eastAsia="Times New Roman" w:cs="Times New Roman"/>
          <w:noProof w:val="0"/>
          <w:sz w:val="24"/>
          <w:szCs w:val="24"/>
          <w:lang w:val="en-US"/>
        </w:rPr>
        <w:t xml:space="preserve">, </w:t>
      </w:r>
      <w:r w:rsidRPr="4E53102B" w:rsidR="07ACABA5">
        <w:rPr>
          <w:rFonts w:ascii="Times New Roman" w:hAnsi="Times New Roman" w:eastAsia="Times New Roman" w:cs="Times New Roman"/>
          <w:i w:val="1"/>
          <w:iCs w:val="1"/>
          <w:noProof w:val="0"/>
          <w:sz w:val="24"/>
          <w:szCs w:val="24"/>
          <w:lang w:val="en-US"/>
        </w:rPr>
        <w:t>133</w:t>
      </w:r>
      <w:r w:rsidRPr="4E53102B" w:rsidR="07ACABA5">
        <w:rPr>
          <w:rFonts w:ascii="Times New Roman" w:hAnsi="Times New Roman" w:eastAsia="Times New Roman" w:cs="Times New Roman"/>
          <w:noProof w:val="0"/>
          <w:sz w:val="24"/>
          <w:szCs w:val="24"/>
          <w:lang w:val="en-US"/>
        </w:rPr>
        <w:t xml:space="preserve">(2), 501–519. </w:t>
      </w:r>
      <w:hyperlink r:id="Ra99f3e08c5cc4207">
        <w:r w:rsidRPr="4E53102B" w:rsidR="07ACABA5">
          <w:rPr>
            <w:rStyle w:val="Hyperlink"/>
            <w:rFonts w:ascii="Times New Roman" w:hAnsi="Times New Roman" w:eastAsia="Times New Roman" w:cs="Times New Roman"/>
            <w:noProof w:val="0"/>
            <w:sz w:val="24"/>
            <w:szCs w:val="24"/>
            <w:lang w:val="en-US"/>
          </w:rPr>
          <w:t>https://doi.org/10.1007/s00414-018-1946-x</w:t>
        </w:r>
      </w:hyperlink>
    </w:p>
    <w:p w:rsidR="7B10A737" w:rsidP="4E53102B" w:rsidRDefault="7B10A737" w14:paraId="1DB77E1C" w14:textId="2022ADD0">
      <w:pPr>
        <w:pStyle w:val="Normal"/>
        <w:suppressLineNumbers w:val="0"/>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r w:rsidRPr="4E53102B" w:rsidR="7B10A737">
        <w:rPr>
          <w:rFonts w:ascii="Times New Roman" w:hAnsi="Times New Roman" w:eastAsia="Times New Roman" w:cs="Times New Roman"/>
          <w:noProof w:val="0"/>
          <w:sz w:val="24"/>
          <w:szCs w:val="24"/>
          <w:lang w:val="en-US"/>
        </w:rPr>
        <w:t xml:space="preserve">3. Lynnerup, N., Astrup, J. G., &amp; </w:t>
      </w:r>
      <w:r w:rsidRPr="4E53102B" w:rsidR="7B10A737">
        <w:rPr>
          <w:rFonts w:ascii="Times New Roman" w:hAnsi="Times New Roman" w:eastAsia="Times New Roman" w:cs="Times New Roman"/>
          <w:noProof w:val="0"/>
          <w:sz w:val="24"/>
          <w:szCs w:val="24"/>
          <w:lang w:val="en-US"/>
        </w:rPr>
        <w:t>Sejrsen</w:t>
      </w:r>
      <w:r w:rsidRPr="4E53102B" w:rsidR="7B10A737">
        <w:rPr>
          <w:rFonts w:ascii="Times New Roman" w:hAnsi="Times New Roman" w:eastAsia="Times New Roman" w:cs="Times New Roman"/>
          <w:noProof w:val="0"/>
          <w:sz w:val="24"/>
          <w:szCs w:val="24"/>
          <w:lang w:val="en-US"/>
        </w:rPr>
        <w:t xml:space="preserve">, B. (2005). Thickness of the human cranial diploe in relation to age, </w:t>
      </w:r>
      <w:bookmarkStart w:name="_Int_WYhoFTDQ" w:id="1722934912"/>
      <w:r w:rsidRPr="4E53102B" w:rsidR="7B10A737">
        <w:rPr>
          <w:rFonts w:ascii="Times New Roman" w:hAnsi="Times New Roman" w:eastAsia="Times New Roman" w:cs="Times New Roman"/>
          <w:noProof w:val="0"/>
          <w:sz w:val="24"/>
          <w:szCs w:val="24"/>
          <w:lang w:val="en-US"/>
        </w:rPr>
        <w:t>sex</w:t>
      </w:r>
      <w:bookmarkEnd w:id="1722934912"/>
      <w:r w:rsidRPr="4E53102B" w:rsidR="7B10A737">
        <w:rPr>
          <w:rFonts w:ascii="Times New Roman" w:hAnsi="Times New Roman" w:eastAsia="Times New Roman" w:cs="Times New Roman"/>
          <w:noProof w:val="0"/>
          <w:sz w:val="24"/>
          <w:szCs w:val="24"/>
          <w:lang w:val="en-US"/>
        </w:rPr>
        <w:t xml:space="preserve"> and general body build. </w:t>
      </w:r>
      <w:r w:rsidRPr="4E53102B" w:rsidR="7B10A737">
        <w:rPr>
          <w:rFonts w:ascii="Times New Roman" w:hAnsi="Times New Roman" w:eastAsia="Times New Roman" w:cs="Times New Roman"/>
          <w:i w:val="1"/>
          <w:iCs w:val="1"/>
          <w:noProof w:val="0"/>
          <w:sz w:val="24"/>
          <w:szCs w:val="24"/>
          <w:lang w:val="en-US"/>
        </w:rPr>
        <w:t>Head &amp;amp; Face Medicine</w:t>
      </w:r>
      <w:r w:rsidRPr="4E53102B" w:rsidR="7B10A737">
        <w:rPr>
          <w:rFonts w:ascii="Times New Roman" w:hAnsi="Times New Roman" w:eastAsia="Times New Roman" w:cs="Times New Roman"/>
          <w:noProof w:val="0"/>
          <w:sz w:val="24"/>
          <w:szCs w:val="24"/>
          <w:lang w:val="en-US"/>
        </w:rPr>
        <w:t xml:space="preserve">, </w:t>
      </w:r>
      <w:r w:rsidRPr="4E53102B" w:rsidR="7B10A737">
        <w:rPr>
          <w:rFonts w:ascii="Times New Roman" w:hAnsi="Times New Roman" w:eastAsia="Times New Roman" w:cs="Times New Roman"/>
          <w:i w:val="1"/>
          <w:iCs w:val="1"/>
          <w:noProof w:val="0"/>
          <w:sz w:val="24"/>
          <w:szCs w:val="24"/>
          <w:lang w:val="en-US"/>
        </w:rPr>
        <w:t>1</w:t>
      </w:r>
      <w:r w:rsidRPr="4E53102B" w:rsidR="7B10A737">
        <w:rPr>
          <w:rFonts w:ascii="Times New Roman" w:hAnsi="Times New Roman" w:eastAsia="Times New Roman" w:cs="Times New Roman"/>
          <w:noProof w:val="0"/>
          <w:sz w:val="24"/>
          <w:szCs w:val="24"/>
          <w:lang w:val="en-US"/>
        </w:rPr>
        <w:t xml:space="preserve">(1). </w:t>
      </w:r>
      <w:hyperlink r:id="R8888ef0200384246">
        <w:r w:rsidRPr="4E53102B" w:rsidR="7B10A737">
          <w:rPr>
            <w:rStyle w:val="Hyperlink"/>
            <w:rFonts w:ascii="Times New Roman" w:hAnsi="Times New Roman" w:eastAsia="Times New Roman" w:cs="Times New Roman"/>
            <w:noProof w:val="0"/>
            <w:sz w:val="24"/>
            <w:szCs w:val="24"/>
            <w:lang w:val="en-US"/>
          </w:rPr>
          <w:t>https://doi.org/10.1186/1746-160x-1-13</w:t>
        </w:r>
      </w:hyperlink>
    </w:p>
    <w:p w:rsidR="4E53102B" w:rsidP="4E53102B" w:rsidRDefault="4E53102B" w14:paraId="7A0F0278" w14:textId="3CF60CE6">
      <w:pPr>
        <w:pStyle w:val="Normal"/>
        <w:suppressLineNumbers w:val="0"/>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p>
    <w:p w:rsidR="4E53102B" w:rsidP="4E53102B" w:rsidRDefault="4E53102B" w14:paraId="136947A7" w14:textId="1BCF8A72">
      <w:pPr>
        <w:pStyle w:val="Normal"/>
        <w:suppressLineNumbers w:val="0"/>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p>
    <w:p w:rsidR="4E53102B" w:rsidP="4E53102B" w:rsidRDefault="4E53102B" w14:paraId="484EFCDE" w14:textId="315DD919">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i w:val="0"/>
          <w:iCs w:val="0"/>
          <w:caps w:val="0"/>
          <w:smallCaps w:val="0"/>
          <w:noProof w:val="0"/>
          <w:color w:val="auto"/>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2O0hMZYQq7kCyI" int2:id="e1fcrPst">
      <int2:state int2:type="AugLoop_Text_Critique" int2:value="Rejected"/>
    </int2:textHash>
    <int2:textHash int2:hashCode="/M44ziIFhHrBQr" int2:id="dD9irsAw">
      <int2:state int2:type="AugLoop_Text_Critique" int2:value="Rejected"/>
    </int2:textHash>
    <int2:bookmark int2:bookmarkName="_Int_WYhoFTDQ" int2:invalidationBookmarkName="" int2:hashCode="aLsEvVS49sUwaV" int2:id="3QAIiyED">
      <int2:state int2:type="AugLoop_Text_Critique" int2:value="Rejected"/>
    </int2:bookmark>
    <int2:bookmark int2:bookmarkName="_Int_fPFcfWxb" int2:invalidationBookmarkName="" int2:hashCode="/NCFiLPARicyr0" int2:id="xzGNnDAS">
      <int2:state int2:type="AugLoop_Text_Critique" int2:value="Rejected"/>
    </int2:bookmark>
    <int2:bookmark int2:bookmarkName="_Int_Bc0jcZTt" int2:invalidationBookmarkName="" int2:hashCode="ol8P0QTawj1XQv" int2:id="c5Ri6eRY">
      <int2:state int2:type="AugLoop_Text_Critique" int2:value="Rejected"/>
    </int2:bookmark>
    <int2:bookmark int2:bookmarkName="_Int_6OK6QUBE" int2:invalidationBookmarkName="" int2:hashCode="gSERMqMeZ0cQ7d" int2:id="OU5kqdOV">
      <int2:state int2:type="AugLoop_Text_Critique" int2:value="Rejected"/>
    </int2:bookmark>
    <int2:bookmark int2:bookmarkName="_Int_kLxQnCqK" int2:invalidationBookmarkName="" int2:hashCode="D1Qo1ZqHrTjVP7" int2:id="DBlwwiOI">
      <int2:state int2:type="AugLoop_Text_Critique" int2:value="Rejected"/>
    </int2:bookmark>
    <int2:bookmark int2:bookmarkName="_Int_ENhC3d2A" int2:invalidationBookmarkName="" int2:hashCode="31BpbwejVk4iQV" int2:id="VHADbCJ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175ff8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b255bc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74F62E"/>
    <w:rsid w:val="0034ACC5"/>
    <w:rsid w:val="00C1546C"/>
    <w:rsid w:val="0372ED8A"/>
    <w:rsid w:val="0372ED8A"/>
    <w:rsid w:val="04C3768E"/>
    <w:rsid w:val="06FE0D36"/>
    <w:rsid w:val="07ACABA5"/>
    <w:rsid w:val="08C2C5B4"/>
    <w:rsid w:val="1369086B"/>
    <w:rsid w:val="160A740C"/>
    <w:rsid w:val="16B3CE08"/>
    <w:rsid w:val="18C85946"/>
    <w:rsid w:val="1B5D55AF"/>
    <w:rsid w:val="1C2A4D3A"/>
    <w:rsid w:val="1C9FB08F"/>
    <w:rsid w:val="1D911525"/>
    <w:rsid w:val="1E55A85C"/>
    <w:rsid w:val="1E87CD83"/>
    <w:rsid w:val="214ED0C0"/>
    <w:rsid w:val="217463F1"/>
    <w:rsid w:val="283A1861"/>
    <w:rsid w:val="28CD0DCE"/>
    <w:rsid w:val="2C1E5619"/>
    <w:rsid w:val="2C37C341"/>
    <w:rsid w:val="2CEFFA75"/>
    <w:rsid w:val="2DA0B6A4"/>
    <w:rsid w:val="2F18F31E"/>
    <w:rsid w:val="2F74E78D"/>
    <w:rsid w:val="2F8150DA"/>
    <w:rsid w:val="31122C59"/>
    <w:rsid w:val="321E61F0"/>
    <w:rsid w:val="337411AD"/>
    <w:rsid w:val="369E72DA"/>
    <w:rsid w:val="3A428C2F"/>
    <w:rsid w:val="3BF36688"/>
    <w:rsid w:val="3D3559BF"/>
    <w:rsid w:val="3E429C93"/>
    <w:rsid w:val="40863199"/>
    <w:rsid w:val="40A1C92D"/>
    <w:rsid w:val="41942FBB"/>
    <w:rsid w:val="41F2541A"/>
    <w:rsid w:val="4249AC10"/>
    <w:rsid w:val="42F5136D"/>
    <w:rsid w:val="45DA7F2E"/>
    <w:rsid w:val="48077A2D"/>
    <w:rsid w:val="49A40E51"/>
    <w:rsid w:val="49E9F471"/>
    <w:rsid w:val="4B145FA8"/>
    <w:rsid w:val="4DA3FAD8"/>
    <w:rsid w:val="4E53102B"/>
    <w:rsid w:val="4E9C2E9A"/>
    <w:rsid w:val="4F22FF11"/>
    <w:rsid w:val="4F63D070"/>
    <w:rsid w:val="4F8F78D4"/>
    <w:rsid w:val="541CA861"/>
    <w:rsid w:val="54799FEF"/>
    <w:rsid w:val="5A888C4D"/>
    <w:rsid w:val="5D753BBB"/>
    <w:rsid w:val="6074F62E"/>
    <w:rsid w:val="6438A0EE"/>
    <w:rsid w:val="696BA40B"/>
    <w:rsid w:val="6971B529"/>
    <w:rsid w:val="6971B529"/>
    <w:rsid w:val="69E213CD"/>
    <w:rsid w:val="6AC5D182"/>
    <w:rsid w:val="6C350D50"/>
    <w:rsid w:val="6DCE97B8"/>
    <w:rsid w:val="70E2DF7A"/>
    <w:rsid w:val="71243651"/>
    <w:rsid w:val="71DB8E7C"/>
    <w:rsid w:val="751DB519"/>
    <w:rsid w:val="75711998"/>
    <w:rsid w:val="7625AABD"/>
    <w:rsid w:val="7940C1B9"/>
    <w:rsid w:val="7A53C18B"/>
    <w:rsid w:val="7B10A737"/>
    <w:rsid w:val="7BA98634"/>
    <w:rsid w:val="7BCE7004"/>
    <w:rsid w:val="7D86B68B"/>
    <w:rsid w:val="7F9AD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F62E"/>
  <w15:chartTrackingRefBased/>
  <w15:docId w15:val="{7F95EA81-7D7F-476C-8311-767F92BB9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E53102B"/>
    <w:rPr>
      <w:color w:val="467886"/>
      <w:u w:val="single"/>
    </w:rPr>
  </w:style>
  <w:style w:type="paragraph" w:styleId="ListParagraph">
    <w:uiPriority w:val="34"/>
    <w:name w:val="List Paragraph"/>
    <w:basedOn w:val="Normal"/>
    <w:qFormat/>
    <w:rsid w:val="4E5310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curry13@unl.edu" TargetMode="External" Id="R989f3d4c12394412" /><Relationship Type="http://schemas.openxmlformats.org/officeDocument/2006/relationships/hyperlink" Target="https://doi.org/10.1186/s12711-020-00555-5" TargetMode="External" Id="R8278f2ab853943ff" /><Relationship Type="http://schemas.openxmlformats.org/officeDocument/2006/relationships/hyperlink" Target="https://doi.org/10.1007/s00414-018-1946-x" TargetMode="External" Id="Ra99f3e08c5cc4207" /><Relationship Type="http://schemas.openxmlformats.org/officeDocument/2006/relationships/hyperlink" Target="https://doi.org/10.1186/1746-160x-1-13" TargetMode="External" Id="R8888ef0200384246" /><Relationship Type="http://schemas.microsoft.com/office/2020/10/relationships/intelligence" Target="intelligence2.xml" Id="Rb0d6eb0aa12d4f7d" /><Relationship Type="http://schemas.openxmlformats.org/officeDocument/2006/relationships/numbering" Target="numbering.xml" Id="R1b351b29478c403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2025-02-25T17:09:08.7158076Z</dcterms:created>
  <dcterms:modified xsi:type="dcterms:W3CDTF">2025-04-09T16:38:54.8296221Z</dcterms:modified>
  <dc:creator>Alex Curry</dc:creator>
  <lastModifiedBy>Dakota Taylor</lastModifiedBy>
</coreProperties>
</file>