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515643D2" w:rsidR="00D12542" w:rsidRPr="0046258D" w:rsidRDefault="00FC3185" w:rsidP="00D12542">
      <w:pPr>
        <w:spacing w:after="0" w:line="240" w:lineRule="auto"/>
        <w:rPr>
          <w:rFonts w:ascii="Times New Roman" w:hAnsi="Times New Roman" w:cs="Times New Roman"/>
          <w:b/>
          <w:sz w:val="24"/>
          <w:szCs w:val="24"/>
        </w:rPr>
      </w:pPr>
      <w:r w:rsidRPr="0046258D">
        <w:rPr>
          <w:rFonts w:ascii="Times New Roman" w:hAnsi="Times New Roman" w:cs="Times New Roman"/>
          <w:b/>
          <w:sz w:val="24"/>
          <w:szCs w:val="24"/>
        </w:rPr>
        <w:t>ZERUMBONE AS A GLI-1 INHIBITOR IN T</w:t>
      </w:r>
      <w:r w:rsidR="00556A69" w:rsidRPr="0046258D">
        <w:rPr>
          <w:rFonts w:ascii="Times New Roman" w:hAnsi="Times New Roman" w:cs="Times New Roman"/>
          <w:b/>
          <w:sz w:val="24"/>
          <w:szCs w:val="24"/>
        </w:rPr>
        <w:t>RIPLE-NEGATIVE BREAST CANCER CELLS</w:t>
      </w:r>
    </w:p>
    <w:p w14:paraId="043C0729" w14:textId="00B79EFE" w:rsidR="00DC1DE8" w:rsidRPr="0046258D" w:rsidRDefault="00556A69" w:rsidP="007323F5">
      <w:pPr>
        <w:spacing w:after="0" w:line="240" w:lineRule="auto"/>
        <w:ind w:left="720"/>
        <w:rPr>
          <w:rFonts w:ascii="Times New Roman" w:hAnsi="Times New Roman" w:cs="Times New Roman"/>
          <w:sz w:val="24"/>
          <w:szCs w:val="24"/>
        </w:rPr>
      </w:pPr>
      <w:r w:rsidRPr="0046258D">
        <w:rPr>
          <w:rFonts w:ascii="Times New Roman" w:hAnsi="Times New Roman" w:cs="Times New Roman"/>
          <w:sz w:val="24"/>
          <w:szCs w:val="24"/>
          <w:u w:val="single"/>
        </w:rPr>
        <w:t>Alexis K</w:t>
      </w:r>
      <w:r w:rsidR="00C57334" w:rsidRPr="0046258D">
        <w:rPr>
          <w:rFonts w:ascii="Times New Roman" w:hAnsi="Times New Roman" w:cs="Times New Roman"/>
          <w:sz w:val="24"/>
          <w:szCs w:val="24"/>
          <w:u w:val="single"/>
        </w:rPr>
        <w:t>ramer</w:t>
      </w:r>
      <w:r w:rsidR="00DC1DE8" w:rsidRPr="0046258D">
        <w:rPr>
          <w:rFonts w:ascii="Times New Roman" w:hAnsi="Times New Roman" w:cs="Times New Roman"/>
          <w:sz w:val="24"/>
          <w:szCs w:val="24"/>
          <w:vertAlign w:val="superscript"/>
        </w:rPr>
        <w:t>1</w:t>
      </w:r>
      <w:r w:rsidR="0046258D" w:rsidRPr="0046258D">
        <w:rPr>
          <w:rFonts w:ascii="Times New Roman" w:hAnsi="Times New Roman" w:cs="Times New Roman"/>
          <w:sz w:val="24"/>
          <w:szCs w:val="24"/>
          <w:vertAlign w:val="superscript"/>
        </w:rPr>
        <w:t xml:space="preserve"> </w:t>
      </w:r>
      <w:r w:rsidR="0046258D" w:rsidRPr="0046258D">
        <w:rPr>
          <w:rFonts w:ascii="Times New Roman" w:hAnsi="Times New Roman" w:cs="Times New Roman"/>
          <w:sz w:val="24"/>
          <w:szCs w:val="24"/>
        </w:rPr>
        <w:t>and</w:t>
      </w:r>
      <w:r w:rsidR="00955368" w:rsidRPr="0046258D">
        <w:rPr>
          <w:rFonts w:ascii="Times New Roman" w:hAnsi="Times New Roman" w:cs="Times New Roman"/>
          <w:sz w:val="24"/>
          <w:szCs w:val="24"/>
        </w:rPr>
        <w:t xml:space="preserve"> </w:t>
      </w:r>
      <w:r w:rsidR="00B87175" w:rsidRPr="0046258D">
        <w:rPr>
          <w:rFonts w:ascii="Times New Roman" w:hAnsi="Times New Roman" w:cs="Times New Roman"/>
          <w:sz w:val="24"/>
          <w:szCs w:val="24"/>
        </w:rPr>
        <w:t>Ann Buchmann</w:t>
      </w:r>
      <w:r w:rsidR="00D66E58" w:rsidRPr="0046258D">
        <w:rPr>
          <w:rFonts w:ascii="Times New Roman" w:hAnsi="Times New Roman" w:cs="Times New Roman"/>
          <w:sz w:val="24"/>
          <w:szCs w:val="24"/>
          <w:vertAlign w:val="superscript"/>
        </w:rPr>
        <w:t>2</w:t>
      </w:r>
      <w:r w:rsidR="00405B94" w:rsidRPr="0046258D">
        <w:rPr>
          <w:rFonts w:ascii="Times New Roman" w:hAnsi="Times New Roman" w:cs="Times New Roman"/>
          <w:sz w:val="24"/>
          <w:szCs w:val="24"/>
        </w:rPr>
        <w:t xml:space="preserve"> alexis.kramer1@eagles.csc.edu</w:t>
      </w:r>
    </w:p>
    <w:p w14:paraId="2511A68C" w14:textId="031DEF41" w:rsidR="004D1365" w:rsidRPr="0046258D" w:rsidRDefault="00DC1DE8" w:rsidP="004D1365">
      <w:pPr>
        <w:spacing w:after="0" w:line="240" w:lineRule="auto"/>
        <w:ind w:left="720"/>
        <w:rPr>
          <w:rFonts w:ascii="Times New Roman" w:hAnsi="Times New Roman" w:cs="Times New Roman"/>
          <w:sz w:val="24"/>
          <w:szCs w:val="24"/>
        </w:rPr>
      </w:pPr>
      <w:r w:rsidRPr="0046258D">
        <w:rPr>
          <w:rFonts w:ascii="Times New Roman" w:hAnsi="Times New Roman" w:cs="Times New Roman"/>
          <w:sz w:val="24"/>
          <w:szCs w:val="24"/>
        </w:rPr>
        <w:t xml:space="preserve">1 </w:t>
      </w:r>
      <w:r w:rsidR="004D1365" w:rsidRPr="0046258D">
        <w:rPr>
          <w:rFonts w:ascii="Times New Roman" w:hAnsi="Times New Roman" w:cs="Times New Roman"/>
          <w:sz w:val="24"/>
          <w:szCs w:val="24"/>
        </w:rPr>
        <w:t>–</w:t>
      </w:r>
      <w:r w:rsidRPr="0046258D">
        <w:rPr>
          <w:rFonts w:ascii="Times New Roman" w:hAnsi="Times New Roman" w:cs="Times New Roman"/>
          <w:sz w:val="24"/>
          <w:szCs w:val="24"/>
        </w:rPr>
        <w:t xml:space="preserve"> </w:t>
      </w:r>
      <w:r w:rsidR="004D1365" w:rsidRPr="0046258D">
        <w:rPr>
          <w:rFonts w:ascii="Times New Roman" w:hAnsi="Times New Roman" w:cs="Times New Roman"/>
          <w:sz w:val="24"/>
          <w:szCs w:val="24"/>
        </w:rPr>
        <w:t xml:space="preserve">Department of Physical Science, Chadron State College, Chadron, </w:t>
      </w:r>
      <w:proofErr w:type="gramStart"/>
      <w:r w:rsidR="004D1365" w:rsidRPr="0046258D">
        <w:rPr>
          <w:rFonts w:ascii="Times New Roman" w:hAnsi="Times New Roman" w:cs="Times New Roman"/>
          <w:sz w:val="24"/>
          <w:szCs w:val="24"/>
        </w:rPr>
        <w:t>NE;</w:t>
      </w:r>
      <w:proofErr w:type="gramEnd"/>
    </w:p>
    <w:p w14:paraId="387EBAFA" w14:textId="1642808F" w:rsidR="00D66E58" w:rsidRPr="0046258D" w:rsidRDefault="00D66E58" w:rsidP="004D1365">
      <w:pPr>
        <w:spacing w:after="0" w:line="240" w:lineRule="auto"/>
        <w:ind w:left="720"/>
        <w:rPr>
          <w:rFonts w:ascii="Times New Roman" w:hAnsi="Times New Roman" w:cs="Times New Roman"/>
          <w:sz w:val="24"/>
          <w:szCs w:val="24"/>
        </w:rPr>
      </w:pPr>
      <w:r w:rsidRPr="0046258D">
        <w:rPr>
          <w:rFonts w:ascii="Times New Roman" w:hAnsi="Times New Roman" w:cs="Times New Roman"/>
          <w:sz w:val="24"/>
          <w:szCs w:val="24"/>
        </w:rPr>
        <w:t>2 – Department of Life Science, Chadron State College, Chadron, NE.</w:t>
      </w:r>
    </w:p>
    <w:p w14:paraId="34507649" w14:textId="77777777" w:rsidR="00EA4455" w:rsidRPr="0046258D" w:rsidRDefault="00EA4455" w:rsidP="00EA4455">
      <w:pPr>
        <w:spacing w:after="0" w:line="240" w:lineRule="auto"/>
        <w:ind w:left="720"/>
        <w:rPr>
          <w:rFonts w:ascii="Times New Roman" w:hAnsi="Times New Roman" w:cs="Times New Roman"/>
          <w:sz w:val="24"/>
          <w:szCs w:val="24"/>
        </w:rPr>
      </w:pPr>
    </w:p>
    <w:p w14:paraId="227F38FF" w14:textId="78A8B857" w:rsidR="00955368" w:rsidRPr="00E74503" w:rsidRDefault="00907F11" w:rsidP="00E74503">
      <w:pPr>
        <w:rPr>
          <w:rFonts w:ascii="Times New Roman" w:hAnsi="Times New Roman" w:cs="Times New Roman"/>
          <w:sz w:val="24"/>
          <w:szCs w:val="24"/>
        </w:rPr>
      </w:pPr>
      <w:r w:rsidRPr="0046258D">
        <w:rPr>
          <w:rFonts w:ascii="Times New Roman" w:hAnsi="Times New Roman" w:cs="Times New Roman"/>
          <w:sz w:val="24"/>
          <w:szCs w:val="24"/>
        </w:rPr>
        <w:t xml:space="preserve">Triple-Negative Breast Cancer (TNBC) is an aggressive form of breast cancer with a poor prognosis. The reason for TNBC’s poor prognosis is the result of the cancer’s lack of overexpressed estrogen receptor (ER), progesterone receptor (PR), and human epidermal growth factor receptor (HER2). ER, PR, or HER2 expression in other cancers serve as a therapeutic target, so TNBC’s failure to present with overexpression of ER, PR, or HER2 greatly reduces the treatment options available for TNBC patients. As TNBC does not overexpress one of the three receptors mentioned above, the mechanism behind TNBC cell proliferation is unknown. We propose that growth of TNBC is mediated by the Sonic Hedgehog (Shh)/Gli-1 signaling pathway. Gli-1 inhibitors are chemicals that can inhibit the Shh/Gli-1 pathway. </w:t>
      </w:r>
      <w:r w:rsidR="002D2B94" w:rsidRPr="0046258D">
        <w:rPr>
          <w:rFonts w:ascii="Times New Roman" w:hAnsi="Times New Roman" w:cs="Times New Roman"/>
          <w:sz w:val="24"/>
          <w:szCs w:val="24"/>
        </w:rPr>
        <w:t xml:space="preserve">The </w:t>
      </w:r>
      <w:r w:rsidRPr="0046258D">
        <w:rPr>
          <w:rFonts w:ascii="Times New Roman" w:hAnsi="Times New Roman" w:cs="Times New Roman"/>
          <w:sz w:val="24"/>
          <w:szCs w:val="24"/>
        </w:rPr>
        <w:t xml:space="preserve">chemical </w:t>
      </w:r>
      <w:proofErr w:type="spellStart"/>
      <w:r w:rsidRPr="0046258D">
        <w:rPr>
          <w:rFonts w:ascii="Times New Roman" w:hAnsi="Times New Roman" w:cs="Times New Roman"/>
          <w:sz w:val="24"/>
          <w:szCs w:val="24"/>
        </w:rPr>
        <w:t>zerumbone</w:t>
      </w:r>
      <w:proofErr w:type="spellEnd"/>
      <w:r w:rsidRPr="0046258D">
        <w:rPr>
          <w:rFonts w:ascii="Times New Roman" w:hAnsi="Times New Roman" w:cs="Times New Roman"/>
          <w:sz w:val="24"/>
          <w:szCs w:val="24"/>
        </w:rPr>
        <w:t xml:space="preserve"> was </w:t>
      </w:r>
      <w:r w:rsidR="0012690D" w:rsidRPr="0046258D">
        <w:rPr>
          <w:rFonts w:ascii="Times New Roman" w:hAnsi="Times New Roman" w:cs="Times New Roman"/>
          <w:sz w:val="24"/>
          <w:szCs w:val="24"/>
        </w:rPr>
        <w:t>used</w:t>
      </w:r>
      <w:r w:rsidRPr="0046258D">
        <w:rPr>
          <w:rFonts w:ascii="Times New Roman" w:hAnsi="Times New Roman" w:cs="Times New Roman"/>
          <w:sz w:val="24"/>
          <w:szCs w:val="24"/>
        </w:rPr>
        <w:t xml:space="preserve"> as a Gli-1 inhibitor during this experiment. </w:t>
      </w:r>
      <w:proofErr w:type="spellStart"/>
      <w:r w:rsidRPr="0046258D">
        <w:rPr>
          <w:rFonts w:ascii="Times New Roman" w:hAnsi="Times New Roman" w:cs="Times New Roman"/>
          <w:sz w:val="24"/>
          <w:szCs w:val="24"/>
        </w:rPr>
        <w:t>Zerumbone’s</w:t>
      </w:r>
      <w:proofErr w:type="spellEnd"/>
      <w:r w:rsidRPr="0046258D">
        <w:rPr>
          <w:rFonts w:ascii="Times New Roman" w:hAnsi="Times New Roman" w:cs="Times New Roman"/>
          <w:sz w:val="24"/>
          <w:szCs w:val="24"/>
        </w:rPr>
        <w:t xml:space="preserve"> legitimacy as a Gli-1 inhibitor was examined by comparing the effects of the </w:t>
      </w:r>
      <w:proofErr w:type="spellStart"/>
      <w:r w:rsidRPr="0046258D">
        <w:rPr>
          <w:rFonts w:ascii="Times New Roman" w:hAnsi="Times New Roman" w:cs="Times New Roman"/>
          <w:sz w:val="24"/>
          <w:szCs w:val="24"/>
        </w:rPr>
        <w:t>zerumbone</w:t>
      </w:r>
      <w:proofErr w:type="spellEnd"/>
      <w:r w:rsidRPr="0046258D">
        <w:rPr>
          <w:rFonts w:ascii="Times New Roman" w:hAnsi="Times New Roman" w:cs="Times New Roman"/>
          <w:sz w:val="24"/>
          <w:szCs w:val="24"/>
        </w:rPr>
        <w:t xml:space="preserve"> on TNBC cells to those of </w:t>
      </w:r>
      <w:proofErr w:type="spellStart"/>
      <w:r w:rsidRPr="0046258D">
        <w:rPr>
          <w:rFonts w:ascii="Times New Roman" w:hAnsi="Times New Roman" w:cs="Times New Roman"/>
          <w:sz w:val="24"/>
          <w:szCs w:val="24"/>
        </w:rPr>
        <w:t>cyclopamine</w:t>
      </w:r>
      <w:proofErr w:type="spellEnd"/>
      <w:r w:rsidRPr="0046258D">
        <w:rPr>
          <w:rFonts w:ascii="Times New Roman" w:hAnsi="Times New Roman" w:cs="Times New Roman"/>
          <w:sz w:val="24"/>
          <w:szCs w:val="24"/>
        </w:rPr>
        <w:t xml:space="preserve">, a well-known Gli-1 inhibitor. To begin the experiment, an HBT-549 TNBC cell line was cultured. The cultured cells were then treated with either </w:t>
      </w:r>
      <w:proofErr w:type="spellStart"/>
      <w:r w:rsidRPr="0046258D">
        <w:rPr>
          <w:rFonts w:ascii="Times New Roman" w:hAnsi="Times New Roman" w:cs="Times New Roman"/>
          <w:sz w:val="24"/>
          <w:szCs w:val="24"/>
        </w:rPr>
        <w:t>cyclopamine</w:t>
      </w:r>
      <w:proofErr w:type="spellEnd"/>
      <w:r w:rsidRPr="0046258D">
        <w:rPr>
          <w:rFonts w:ascii="Times New Roman" w:hAnsi="Times New Roman" w:cs="Times New Roman"/>
          <w:sz w:val="24"/>
          <w:szCs w:val="24"/>
        </w:rPr>
        <w:t xml:space="preserve"> or </w:t>
      </w:r>
      <w:proofErr w:type="spellStart"/>
      <w:r w:rsidRPr="0046258D">
        <w:rPr>
          <w:rFonts w:ascii="Times New Roman" w:hAnsi="Times New Roman" w:cs="Times New Roman"/>
          <w:sz w:val="24"/>
          <w:szCs w:val="24"/>
        </w:rPr>
        <w:t>zerumbone</w:t>
      </w:r>
      <w:proofErr w:type="spellEnd"/>
      <w:r w:rsidRPr="0046258D">
        <w:rPr>
          <w:rFonts w:ascii="Times New Roman" w:hAnsi="Times New Roman" w:cs="Times New Roman"/>
          <w:sz w:val="24"/>
          <w:szCs w:val="24"/>
        </w:rPr>
        <w:t xml:space="preserve"> and examined using various methods. First, propidium iodide</w:t>
      </w:r>
      <w:r w:rsidR="0020199B" w:rsidRPr="0046258D">
        <w:rPr>
          <w:rFonts w:ascii="Times New Roman" w:hAnsi="Times New Roman" w:cs="Times New Roman"/>
          <w:sz w:val="24"/>
          <w:szCs w:val="24"/>
        </w:rPr>
        <w:t xml:space="preserve"> (PI)</w:t>
      </w:r>
      <w:r w:rsidRPr="0046258D">
        <w:rPr>
          <w:rFonts w:ascii="Times New Roman" w:hAnsi="Times New Roman" w:cs="Times New Roman"/>
          <w:sz w:val="24"/>
          <w:szCs w:val="24"/>
        </w:rPr>
        <w:t xml:space="preserve"> staining was conducted to determine the level of apoptosis among the cells</w:t>
      </w:r>
      <w:r w:rsidR="004F46F1" w:rsidRPr="0046258D">
        <w:rPr>
          <w:rFonts w:ascii="Times New Roman" w:hAnsi="Times New Roman" w:cs="Times New Roman"/>
          <w:sz w:val="24"/>
          <w:szCs w:val="24"/>
        </w:rPr>
        <w:t>,</w:t>
      </w:r>
      <w:r w:rsidR="00986C75" w:rsidRPr="0046258D">
        <w:rPr>
          <w:rFonts w:ascii="Times New Roman" w:hAnsi="Times New Roman" w:cs="Times New Roman"/>
          <w:sz w:val="24"/>
          <w:szCs w:val="24"/>
        </w:rPr>
        <w:t xml:space="preserve"> and</w:t>
      </w:r>
      <w:r w:rsidR="0020199B" w:rsidRPr="0046258D">
        <w:rPr>
          <w:rFonts w:ascii="Times New Roman" w:hAnsi="Times New Roman" w:cs="Times New Roman"/>
          <w:sz w:val="24"/>
          <w:szCs w:val="24"/>
        </w:rPr>
        <w:t xml:space="preserve"> the data was used</w:t>
      </w:r>
      <w:r w:rsidR="00986C75" w:rsidRPr="0046258D">
        <w:rPr>
          <w:rFonts w:ascii="Times New Roman" w:hAnsi="Times New Roman" w:cs="Times New Roman"/>
          <w:sz w:val="24"/>
          <w:szCs w:val="24"/>
        </w:rPr>
        <w:t xml:space="preserve"> </w:t>
      </w:r>
      <w:r w:rsidR="004F46F1" w:rsidRPr="0046258D">
        <w:rPr>
          <w:rFonts w:ascii="Times New Roman" w:hAnsi="Times New Roman" w:cs="Times New Roman"/>
          <w:sz w:val="24"/>
          <w:szCs w:val="24"/>
        </w:rPr>
        <w:t xml:space="preserve">to </w:t>
      </w:r>
      <w:r w:rsidR="00986C75" w:rsidRPr="0046258D">
        <w:rPr>
          <w:rFonts w:ascii="Times New Roman" w:hAnsi="Times New Roman" w:cs="Times New Roman"/>
          <w:sz w:val="24"/>
          <w:szCs w:val="24"/>
        </w:rPr>
        <w:t xml:space="preserve">compare the apoptotic levels of cells treated with </w:t>
      </w:r>
      <w:proofErr w:type="spellStart"/>
      <w:r w:rsidR="00986C75" w:rsidRPr="0046258D">
        <w:rPr>
          <w:rFonts w:ascii="Times New Roman" w:hAnsi="Times New Roman" w:cs="Times New Roman"/>
          <w:sz w:val="24"/>
          <w:szCs w:val="24"/>
        </w:rPr>
        <w:t>cyclopamine</w:t>
      </w:r>
      <w:proofErr w:type="spellEnd"/>
      <w:r w:rsidR="00986C75" w:rsidRPr="0046258D">
        <w:rPr>
          <w:rFonts w:ascii="Times New Roman" w:hAnsi="Times New Roman" w:cs="Times New Roman"/>
          <w:sz w:val="24"/>
          <w:szCs w:val="24"/>
        </w:rPr>
        <w:t xml:space="preserve"> to cells treated with </w:t>
      </w:r>
      <w:proofErr w:type="spellStart"/>
      <w:r w:rsidR="00986C75" w:rsidRPr="0046258D">
        <w:rPr>
          <w:rFonts w:ascii="Times New Roman" w:hAnsi="Times New Roman" w:cs="Times New Roman"/>
          <w:sz w:val="24"/>
          <w:szCs w:val="24"/>
        </w:rPr>
        <w:t>zerumbone</w:t>
      </w:r>
      <w:proofErr w:type="spellEnd"/>
      <w:r w:rsidRPr="0046258D">
        <w:rPr>
          <w:rFonts w:ascii="Times New Roman" w:hAnsi="Times New Roman" w:cs="Times New Roman"/>
          <w:sz w:val="24"/>
          <w:szCs w:val="24"/>
        </w:rPr>
        <w:t>. Subsequently, Annexin V/PI staining was used to determine the stage of cell cycle arrest. Finally, RT-PCR was used to examine the level</w:t>
      </w:r>
      <w:r w:rsidR="003D18A6" w:rsidRPr="0046258D">
        <w:rPr>
          <w:rFonts w:ascii="Times New Roman" w:hAnsi="Times New Roman" w:cs="Times New Roman"/>
          <w:sz w:val="24"/>
          <w:szCs w:val="24"/>
        </w:rPr>
        <w:t xml:space="preserve">s of </w:t>
      </w:r>
      <w:r w:rsidRPr="0046258D">
        <w:rPr>
          <w:rFonts w:ascii="Times New Roman" w:hAnsi="Times New Roman" w:cs="Times New Roman"/>
          <w:sz w:val="24"/>
          <w:szCs w:val="24"/>
        </w:rPr>
        <w:t>Gli-1 protein among the TNBC cells</w:t>
      </w:r>
      <w:r w:rsidR="004315B4" w:rsidRPr="0046258D">
        <w:rPr>
          <w:rFonts w:ascii="Times New Roman" w:hAnsi="Times New Roman" w:cs="Times New Roman"/>
          <w:sz w:val="24"/>
          <w:szCs w:val="24"/>
        </w:rPr>
        <w:t xml:space="preserve"> </w:t>
      </w:r>
      <w:r w:rsidR="00212AD5" w:rsidRPr="0046258D">
        <w:rPr>
          <w:rFonts w:ascii="Times New Roman" w:hAnsi="Times New Roman" w:cs="Times New Roman"/>
          <w:sz w:val="24"/>
          <w:szCs w:val="24"/>
        </w:rPr>
        <w:t>to</w:t>
      </w:r>
      <w:r w:rsidR="004315B4" w:rsidRPr="0046258D">
        <w:rPr>
          <w:rFonts w:ascii="Times New Roman" w:hAnsi="Times New Roman" w:cs="Times New Roman"/>
          <w:sz w:val="24"/>
          <w:szCs w:val="24"/>
        </w:rPr>
        <w:t xml:space="preserve"> determine if the Shh/Gli-1 signaling pathway was</w:t>
      </w:r>
      <w:r w:rsidR="003D18A6" w:rsidRPr="0046258D">
        <w:rPr>
          <w:rFonts w:ascii="Times New Roman" w:hAnsi="Times New Roman" w:cs="Times New Roman"/>
          <w:sz w:val="24"/>
          <w:szCs w:val="24"/>
        </w:rPr>
        <w:t xml:space="preserve"> effectively</w:t>
      </w:r>
      <w:r w:rsidR="004315B4" w:rsidRPr="0046258D">
        <w:rPr>
          <w:rFonts w:ascii="Times New Roman" w:hAnsi="Times New Roman" w:cs="Times New Roman"/>
          <w:sz w:val="24"/>
          <w:szCs w:val="24"/>
        </w:rPr>
        <w:t xml:space="preserve"> </w:t>
      </w:r>
      <w:r w:rsidR="006652FB" w:rsidRPr="0046258D">
        <w:rPr>
          <w:rFonts w:ascii="Times New Roman" w:hAnsi="Times New Roman" w:cs="Times New Roman"/>
          <w:sz w:val="24"/>
          <w:szCs w:val="24"/>
        </w:rPr>
        <w:t>inhibited.</w:t>
      </w:r>
    </w:p>
    <w:sectPr w:rsidR="00955368" w:rsidRPr="00E74503"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C16D3"/>
    <w:rsid w:val="000C7462"/>
    <w:rsid w:val="0012690D"/>
    <w:rsid w:val="00130CCB"/>
    <w:rsid w:val="001412E5"/>
    <w:rsid w:val="001F1008"/>
    <w:rsid w:val="0020199B"/>
    <w:rsid w:val="002057A6"/>
    <w:rsid w:val="00212AD5"/>
    <w:rsid w:val="002D2B94"/>
    <w:rsid w:val="0031656A"/>
    <w:rsid w:val="00325A39"/>
    <w:rsid w:val="003A0670"/>
    <w:rsid w:val="003D18A6"/>
    <w:rsid w:val="00405B94"/>
    <w:rsid w:val="00423166"/>
    <w:rsid w:val="004315B4"/>
    <w:rsid w:val="0046258D"/>
    <w:rsid w:val="004D1365"/>
    <w:rsid w:val="004E3E7A"/>
    <w:rsid w:val="004F039E"/>
    <w:rsid w:val="004F46F1"/>
    <w:rsid w:val="005226C2"/>
    <w:rsid w:val="005472CE"/>
    <w:rsid w:val="00556A69"/>
    <w:rsid w:val="00586D72"/>
    <w:rsid w:val="005D3403"/>
    <w:rsid w:val="00657F36"/>
    <w:rsid w:val="006652FB"/>
    <w:rsid w:val="006A796E"/>
    <w:rsid w:val="006F15E0"/>
    <w:rsid w:val="007323F5"/>
    <w:rsid w:val="007D54A6"/>
    <w:rsid w:val="00825368"/>
    <w:rsid w:val="00907F11"/>
    <w:rsid w:val="0091197B"/>
    <w:rsid w:val="00955368"/>
    <w:rsid w:val="00986C75"/>
    <w:rsid w:val="00AA3762"/>
    <w:rsid w:val="00AA6DEE"/>
    <w:rsid w:val="00AC5117"/>
    <w:rsid w:val="00B504F2"/>
    <w:rsid w:val="00B623F2"/>
    <w:rsid w:val="00B87175"/>
    <w:rsid w:val="00C57334"/>
    <w:rsid w:val="00D12542"/>
    <w:rsid w:val="00D376CA"/>
    <w:rsid w:val="00D66E58"/>
    <w:rsid w:val="00DC1DE8"/>
    <w:rsid w:val="00E50E30"/>
    <w:rsid w:val="00E74503"/>
    <w:rsid w:val="00EA4455"/>
    <w:rsid w:val="00F64764"/>
    <w:rsid w:val="00F84C38"/>
    <w:rsid w:val="00FC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4</cp:revision>
  <dcterms:created xsi:type="dcterms:W3CDTF">2025-04-10T21:57:00Z</dcterms:created>
  <dcterms:modified xsi:type="dcterms:W3CDTF">2025-04-10T22:12:00Z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