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2B2CC7" w:rsidRDefault="00000000" w14:paraId="0E2AC0D0" w14:textId="77777777">
      <w:pPr>
        <w:spacing w:before="60"/>
        <w:ind w:left="820"/>
        <w:rPr>
          <w:b/>
          <w:i/>
          <w:sz w:val="24"/>
        </w:rPr>
      </w:pPr>
      <w:r>
        <w:rPr>
          <w:b/>
          <w:sz w:val="24"/>
        </w:rPr>
        <w:t>TAPHONOMIC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ANALYSIS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0"/>
          <w:sz w:val="24"/>
        </w:rPr>
        <w:t xml:space="preserve"> </w:t>
      </w:r>
      <w:r>
        <w:rPr>
          <w:b/>
          <w:i/>
          <w:sz w:val="24"/>
        </w:rPr>
        <w:t>ODOCOILEUS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pacing w:val="-2"/>
          <w:sz w:val="24"/>
        </w:rPr>
        <w:t>VIRGINIANUS</w:t>
      </w:r>
    </w:p>
    <w:p w:rsidRPr="00DC2B0A" w:rsidR="002B2CC7" w:rsidP="00DC2B0A" w:rsidRDefault="00000000" w14:paraId="15C73C00" w14:textId="6E71064F">
      <w:pPr>
        <w:pStyle w:val="Heading1"/>
        <w:spacing w:before="41"/>
        <w:ind w:left="820"/>
      </w:pPr>
      <w:r>
        <w:t>DECOMPOSITION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GREAT</w:t>
      </w:r>
      <w:r>
        <w:rPr>
          <w:spacing w:val="-3"/>
        </w:rPr>
        <w:t xml:space="preserve"> </w:t>
      </w:r>
      <w:r>
        <w:t>PLAINS: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PILOT</w:t>
      </w:r>
      <w:r>
        <w:rPr>
          <w:spacing w:val="-2"/>
        </w:rPr>
        <w:t xml:space="preserve"> STUDY</w:t>
      </w:r>
    </w:p>
    <w:p w:rsidR="002B2CC7" w:rsidRDefault="00000000" w14:paraId="1755767D" w14:textId="77777777">
      <w:pPr>
        <w:pStyle w:val="BodyText"/>
        <w:tabs>
          <w:tab w:val="left" w:pos="5989"/>
          <w:tab w:val="left" w:pos="7609"/>
        </w:tabs>
        <w:spacing w:before="1" w:line="214" w:lineRule="exact"/>
        <w:ind w:left="4156"/>
      </w:pPr>
      <w:r>
        <w:rPr>
          <w:noProof/>
        </w:rPr>
        <mc:AlternateContent>
          <mc:Choice Requires="wps">
            <w:drawing>
              <wp:anchor distT="0" distB="0" distL="0" distR="0" simplePos="0" relativeHeight="487557632" behindDoc="1" locked="0" layoutInCell="1" allowOverlap="1" wp14:anchorId="7CA426AF" wp14:editId="406CF38C">
                <wp:simplePos x="0" y="0"/>
                <wp:positionH relativeFrom="page">
                  <wp:posOffset>2162249</wp:posOffset>
                </wp:positionH>
                <wp:positionV relativeFrom="paragraph">
                  <wp:posOffset>99873</wp:posOffset>
                </wp:positionV>
                <wp:extent cx="45720" cy="10160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B2CC7" w:rsidRDefault="00000000" w14:paraId="2181E3BD" w14:textId="77777777">
                            <w:pPr>
                              <w:spacing w:line="159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7CA426AF">
                <v:stroke joinstyle="miter"/>
                <v:path gradientshapeok="t" o:connecttype="rect"/>
              </v:shapetype>
              <v:shape id="Textbox 1" style="position:absolute;left:0;text-align:left;margin-left:170.25pt;margin-top:7.85pt;width:3.6pt;height:8pt;z-index:-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">
                <v:textbox inset="0,0,0,0">
                  <w:txbxContent>
                    <w:p w:rsidR="002B2CC7" w:rsidRDefault="00000000" w14:paraId="2181E3BD" w14:textId="77777777">
                      <w:pPr>
                        <w:spacing w:line="159" w:lineRule="exact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sz w:val="14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</w:rPr>
        <w:t>2</w:t>
      </w:r>
      <w:r>
        <w:tab/>
      </w:r>
      <w:r>
        <w:rPr>
          <w:spacing w:val="-10"/>
        </w:rPr>
        <w:t>3</w:t>
      </w:r>
      <w:r>
        <w:tab/>
      </w:r>
      <w:r>
        <w:rPr>
          <w:spacing w:val="-10"/>
        </w:rPr>
        <w:t>4</w:t>
      </w:r>
    </w:p>
    <w:p w:rsidR="002B2CC7" w:rsidRDefault="00000000" w14:paraId="44AF4C83" w14:textId="77777777">
      <w:pPr>
        <w:pStyle w:val="BodyText"/>
        <w:spacing w:line="214" w:lineRule="exact"/>
        <w:ind w:left="820"/>
      </w:pPr>
      <w:r>
        <w:rPr>
          <w:noProof/>
        </w:rPr>
        <mc:AlternateContent>
          <mc:Choice Requires="wps">
            <w:drawing>
              <wp:anchor distT="0" distB="0" distL="0" distR="0" simplePos="0" relativeHeight="487557120" behindDoc="1" locked="0" layoutInCell="1" allowOverlap="1" wp14:anchorId="2EC811F6" wp14:editId="4C65C483">
                <wp:simplePos x="0" y="0"/>
                <wp:positionH relativeFrom="page">
                  <wp:posOffset>2159000</wp:posOffset>
                </wp:positionH>
                <wp:positionV relativeFrom="paragraph">
                  <wp:posOffset>54759</wp:posOffset>
                </wp:positionV>
                <wp:extent cx="508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>
                              <a:moveTo>
                                <a:pt x="0" y="0"/>
                              </a:moveTo>
                              <a:lnTo>
                                <a:pt x="507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style="position:absolute;margin-left:170pt;margin-top:4.3pt;width:4pt;height:.1pt;z-index:-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1270" o:spid="_x0000_s1026" filled="f" strokeweight="1pt" path="m,l5079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" w14:anchorId="617B02CD">
                <v:path arrowok="t"/>
                <w10:wrap anchorx="page"/>
              </v:shape>
            </w:pict>
          </mc:Fallback>
        </mc:AlternateContent>
      </w:r>
      <w:r>
        <w:rPr>
          <w:u w:val="thick"/>
        </w:rPr>
        <w:t>Victoria</w:t>
      </w:r>
      <w:r>
        <w:rPr>
          <w:spacing w:val="-2"/>
          <w:u w:val="thick"/>
        </w:rPr>
        <w:t xml:space="preserve"> </w:t>
      </w:r>
      <w:proofErr w:type="gramStart"/>
      <w:r>
        <w:rPr>
          <w:u w:val="thick"/>
        </w:rPr>
        <w:t>Pate</w:t>
      </w:r>
      <w:r>
        <w:rPr>
          <w:spacing w:val="10"/>
        </w:rPr>
        <w:t xml:space="preserve"> </w:t>
      </w:r>
      <w:r>
        <w:t>,</w:t>
      </w:r>
      <w:proofErr w:type="gramEnd"/>
      <w:r>
        <w:rPr>
          <w:spacing w:val="-1"/>
        </w:rPr>
        <w:t xml:space="preserve"> </w:t>
      </w:r>
      <w:r>
        <w:t>Savannah</w:t>
      </w:r>
      <w:r>
        <w:rPr>
          <w:spacing w:val="-1"/>
        </w:rPr>
        <w:t xml:space="preserve"> </w:t>
      </w:r>
      <w:r>
        <w:t>McAdow</w:t>
      </w:r>
      <w:r>
        <w:rPr>
          <w:spacing w:val="58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Audrey</w:t>
      </w:r>
      <w:r>
        <w:rPr>
          <w:spacing w:val="-1"/>
        </w:rPr>
        <w:t xml:space="preserve"> </w:t>
      </w:r>
      <w:r>
        <w:t>Holbeck</w:t>
      </w:r>
      <w:r>
        <w:rPr>
          <w:spacing w:val="58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Mack</w:t>
      </w:r>
      <w:r>
        <w:rPr>
          <w:spacing w:val="-1"/>
        </w:rPr>
        <w:t xml:space="preserve"> </w:t>
      </w:r>
      <w:r>
        <w:t>Cristino</w:t>
      </w:r>
      <w:r>
        <w:rPr>
          <w:spacing w:val="58"/>
        </w:rPr>
        <w:t xml:space="preserve"> </w:t>
      </w:r>
      <w:r>
        <w:rPr>
          <w:spacing w:val="-10"/>
        </w:rPr>
        <w:t>,</w:t>
      </w:r>
    </w:p>
    <w:p w:rsidR="002B2CC7" w:rsidP="00DC2B0A" w:rsidRDefault="00000000" w14:paraId="543870A6" w14:textId="610741B7">
      <w:pPr>
        <w:pStyle w:val="BodyText"/>
        <w:spacing w:before="103"/>
        <w:ind w:left="820"/>
      </w:pPr>
      <w:hyperlink r:id="rId4">
        <w:r>
          <w:rPr>
            <w:spacing w:val="-2"/>
          </w:rPr>
          <w:t>tpate3@huskers.unl.edu</w:t>
        </w:r>
      </w:hyperlink>
    </w:p>
    <w:p w:rsidR="002B2CC7" w:rsidRDefault="00000000" w14:paraId="14468306" w14:textId="2E8FE314">
      <w:pPr>
        <w:pStyle w:val="Heading1"/>
      </w:pPr>
      <w:bookmarkStart w:name="1-4_–_School_of_Global_Integrative_Studi" w:id="0"/>
      <w:bookmarkEnd w:id="0"/>
      <w:r>
        <w:t>1-4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Global</w:t>
      </w:r>
      <w:r>
        <w:rPr>
          <w:spacing w:val="-1"/>
        </w:rPr>
        <w:t xml:space="preserve"> </w:t>
      </w:r>
      <w:r>
        <w:t>Integrative</w:t>
      </w:r>
      <w:r>
        <w:rPr>
          <w:spacing w:val="-1"/>
        </w:rPr>
        <w:t xml:space="preserve"> </w:t>
      </w:r>
      <w:r>
        <w:t>Studies,</w:t>
      </w:r>
      <w:r>
        <w:rPr>
          <w:spacing w:val="-1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Nebraska-Lincoln,</w:t>
      </w:r>
      <w:r>
        <w:rPr>
          <w:spacing w:val="-1"/>
        </w:rPr>
        <w:t xml:space="preserve"> </w:t>
      </w:r>
      <w:r w:rsidR="00DC2B0A">
        <w:t>Lincoln</w:t>
      </w:r>
      <w:r>
        <w:t>,</w:t>
      </w:r>
      <w:r>
        <w:rPr>
          <w:spacing w:val="-1"/>
        </w:rPr>
        <w:t xml:space="preserve"> </w:t>
      </w:r>
      <w:r>
        <w:rPr>
          <w:spacing w:val="-5"/>
        </w:rPr>
        <w:t>NE.</w:t>
      </w:r>
    </w:p>
    <w:p w:rsidR="002B2CC7" w:rsidRDefault="002B2CC7" w14:paraId="701D342D" w14:textId="77777777">
      <w:pPr>
        <w:pStyle w:val="BodyText"/>
        <w:spacing w:before="5"/>
        <w:rPr>
          <w:b/>
        </w:rPr>
      </w:pPr>
    </w:p>
    <w:p w:rsidR="002B2CC7" w:rsidRDefault="00000000" w14:paraId="2B6788A0" w14:textId="77777777">
      <w:pPr>
        <w:pStyle w:val="BodyText"/>
        <w:spacing w:line="276" w:lineRule="auto"/>
        <w:ind w:left="100" w:right="142"/>
      </w:pPr>
      <w:r>
        <w:t xml:space="preserve">This study seeks to address the gap in </w:t>
      </w:r>
      <w:proofErr w:type="spellStart"/>
      <w:r>
        <w:t>decompositional</w:t>
      </w:r>
      <w:proofErr w:type="spellEnd"/>
      <w:r>
        <w:t xml:space="preserve"> and </w:t>
      </w:r>
      <w:proofErr w:type="spellStart"/>
      <w:r>
        <w:t>taphonomic</w:t>
      </w:r>
      <w:proofErr w:type="spellEnd"/>
      <w:r>
        <w:t xml:space="preserve"> studies in temperate North</w:t>
      </w:r>
      <w:r>
        <w:rPr>
          <w:spacing w:val="-4"/>
        </w:rPr>
        <w:t xml:space="preserve"> </w:t>
      </w:r>
      <w:r>
        <w:t>America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introducing</w:t>
      </w:r>
      <w:r>
        <w:rPr>
          <w:spacing w:val="-4"/>
        </w:rPr>
        <w:t xml:space="preserve"> </w:t>
      </w:r>
      <w:r>
        <w:t>preliminary</w:t>
      </w:r>
      <w:r>
        <w:rPr>
          <w:spacing w:val="-4"/>
        </w:rPr>
        <w:t xml:space="preserve"> </w:t>
      </w:r>
      <w:r>
        <w:t>studies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Great</w:t>
      </w:r>
      <w:r>
        <w:rPr>
          <w:spacing w:val="-4"/>
        </w:rPr>
        <w:t xml:space="preserve"> </w:t>
      </w:r>
      <w:r>
        <w:t>Plains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observational</w:t>
      </w:r>
      <w:r>
        <w:rPr>
          <w:spacing w:val="-4"/>
        </w:rPr>
        <w:t xml:space="preserve"> </w:t>
      </w:r>
      <w:r>
        <w:t>data of a white-tailed deer (</w:t>
      </w:r>
      <w:r>
        <w:rPr>
          <w:i/>
        </w:rPr>
        <w:t>Odocoileus virginianus</w:t>
      </w:r>
      <w:r>
        <w:t>) carcass at the Reller Prairie Field Station, Martell, Nebraska</w:t>
      </w:r>
      <w:r>
        <w:rPr>
          <w:i/>
        </w:rPr>
        <w:t xml:space="preserve">. </w:t>
      </w:r>
      <w:r>
        <w:t xml:space="preserve">This will contribute to the forensic science community by providing preliminary data regarding </w:t>
      </w:r>
      <w:proofErr w:type="spellStart"/>
      <w:r>
        <w:t>taphonomic</w:t>
      </w:r>
      <w:proofErr w:type="spellEnd"/>
      <w:r>
        <w:t xml:space="preserve"> processes in the Great Plains, which is currently lacking due to absence of body donation facilities in this area and will assess the applicability of</w:t>
      </w:r>
    </w:p>
    <w:p w:rsidR="002B2CC7" w:rsidRDefault="00000000" w14:paraId="3DF139B7" w14:textId="77777777">
      <w:pPr>
        <w:pStyle w:val="BodyText"/>
        <w:ind w:left="100"/>
      </w:pPr>
      <w:r>
        <w:t xml:space="preserve">white-tailed deer as a human proxy for future </w:t>
      </w:r>
      <w:proofErr w:type="spellStart"/>
      <w:r>
        <w:t>taphonomic</w:t>
      </w:r>
      <w:proofErr w:type="spellEnd"/>
      <w:r>
        <w:t xml:space="preserve"> </w:t>
      </w:r>
      <w:r>
        <w:rPr>
          <w:spacing w:val="-2"/>
        </w:rPr>
        <w:t>research.</w:t>
      </w:r>
    </w:p>
    <w:p w:rsidR="002B2CC7" w:rsidRDefault="002B2CC7" w14:paraId="6A400848" w14:textId="77777777">
      <w:pPr>
        <w:pStyle w:val="BodyText"/>
        <w:spacing w:before="5"/>
      </w:pPr>
    </w:p>
    <w:p w:rsidR="002B2CC7" w:rsidRDefault="00000000" w14:paraId="358A9417" w14:textId="6A434177">
      <w:pPr>
        <w:pStyle w:val="BodyText"/>
        <w:spacing w:line="276" w:lineRule="auto"/>
        <w:ind w:left="100" w:right="82"/>
      </w:pPr>
      <w:r w:rsidR="00000000">
        <w:rPr/>
        <w:t xml:space="preserve">The </w:t>
      </w:r>
      <w:r w:rsidRPr="180DA937" w:rsidR="00000000">
        <w:rPr>
          <w:i w:val="1"/>
          <w:iCs w:val="1"/>
        </w:rPr>
        <w:t xml:space="preserve">Odocoileus virginianus </w:t>
      </w:r>
      <w:r w:rsidR="00000000">
        <w:rPr/>
        <w:t xml:space="preserve">carcass was discovered on University of Nebraska-Lincoln (UNL) property on May 31, 2024, by participants of a forensic archaeology field school. The property (Reller Prairie Field Station) is in Martell, Lancaster County, Nebraska, USA, </w:t>
      </w:r>
      <w:r w:rsidR="00000000">
        <w:rPr/>
        <w:t xml:space="preserve">located</w:t>
      </w:r>
      <w:r w:rsidR="00000000">
        <w:rPr/>
        <w:t xml:space="preserve"> approximately </w:t>
      </w:r>
      <w:r w:rsidR="00000000">
        <w:rPr/>
        <w:t xml:space="preserve">30 km</w:t>
      </w:r>
      <w:r w:rsidR="00000000">
        <w:rPr/>
        <w:t xml:space="preserve"> southwest of UNL’s City Campus. The </w:t>
      </w:r>
      <w:r w:rsidR="00000000">
        <w:rPr/>
        <w:t>Köppen</w:t>
      </w:r>
      <w:r w:rsidR="00000000">
        <w:rPr/>
        <w:t xml:space="preserve"> climate classification for this area (Eastern Nebraska) is type </w:t>
      </w:r>
      <w:r w:rsidR="00000000">
        <w:rPr/>
        <w:t>Dfa</w:t>
      </w:r>
      <w:r w:rsidR="00000000">
        <w:rPr/>
        <w:t xml:space="preserve">: humid continental climate (Weather Atlas, 2024). The property </w:t>
      </w:r>
      <w:r w:rsidR="00000000">
        <w:rPr/>
        <w:t>contains</w:t>
      </w:r>
      <w:r w:rsidR="00000000">
        <w:rPr/>
        <w:t xml:space="preserve"> short to mid-grass prairie, meadows, and riparian forests along the Olive Branch</w:t>
      </w:r>
      <w:r w:rsidR="00000000">
        <w:rPr>
          <w:spacing w:val="-3"/>
        </w:rPr>
        <w:t xml:space="preserve"> </w:t>
      </w:r>
      <w:r w:rsidR="00000000">
        <w:rPr/>
        <w:t>of</w:t>
      </w:r>
      <w:r w:rsidR="00000000">
        <w:rPr>
          <w:spacing w:val="-3"/>
        </w:rPr>
        <w:t xml:space="preserve"> </w:t>
      </w:r>
      <w:r w:rsidR="00000000">
        <w:rPr/>
        <w:t>the</w:t>
      </w:r>
      <w:r w:rsidR="00000000">
        <w:rPr>
          <w:spacing w:val="-3"/>
        </w:rPr>
        <w:t xml:space="preserve"> </w:t>
      </w:r>
      <w:r w:rsidR="00000000">
        <w:rPr/>
        <w:t>Salt</w:t>
      </w:r>
      <w:r w:rsidR="00000000">
        <w:rPr>
          <w:spacing w:val="-3"/>
        </w:rPr>
        <w:t xml:space="preserve"> </w:t>
      </w:r>
      <w:r w:rsidR="00000000">
        <w:rPr/>
        <w:t>Creek.</w:t>
      </w:r>
      <w:r w:rsidR="00000000">
        <w:rPr>
          <w:spacing w:val="-3"/>
        </w:rPr>
        <w:t xml:space="preserve"> </w:t>
      </w:r>
      <w:r w:rsidR="00000000">
        <w:rPr/>
        <w:t>The</w:t>
      </w:r>
      <w:r w:rsidR="00000000">
        <w:rPr>
          <w:spacing w:val="-3"/>
        </w:rPr>
        <w:t xml:space="preserve"> </w:t>
      </w:r>
      <w:r w:rsidR="00000000">
        <w:rPr/>
        <w:t>white-tailed</w:t>
      </w:r>
      <w:r w:rsidR="00000000">
        <w:rPr>
          <w:spacing w:val="-3"/>
        </w:rPr>
        <w:t xml:space="preserve"> </w:t>
      </w:r>
      <w:r w:rsidR="00000000">
        <w:rPr/>
        <w:t>deer</w:t>
      </w:r>
      <w:r w:rsidR="00000000">
        <w:rPr>
          <w:spacing w:val="-3"/>
        </w:rPr>
        <w:t xml:space="preserve"> </w:t>
      </w:r>
      <w:r w:rsidR="00000000">
        <w:rPr/>
        <w:t>carcass</w:t>
      </w:r>
      <w:r w:rsidR="00000000">
        <w:rPr>
          <w:spacing w:val="-3"/>
        </w:rPr>
        <w:t xml:space="preserve"> </w:t>
      </w:r>
      <w:r w:rsidR="00000000">
        <w:rPr/>
        <w:t>was</w:t>
      </w:r>
      <w:r w:rsidR="00000000">
        <w:rPr>
          <w:spacing w:val="-3"/>
        </w:rPr>
        <w:t xml:space="preserve"> </w:t>
      </w:r>
      <w:r w:rsidR="00000000">
        <w:rPr/>
        <w:t>located</w:t>
      </w:r>
      <w:r w:rsidR="00000000">
        <w:rPr>
          <w:spacing w:val="-3"/>
        </w:rPr>
        <w:t xml:space="preserve"> </w:t>
      </w:r>
      <w:r w:rsidR="00000000">
        <w:rPr/>
        <w:t>postmortem,</w:t>
      </w:r>
      <w:r w:rsidR="00000000">
        <w:rPr>
          <w:spacing w:val="-3"/>
        </w:rPr>
        <w:t xml:space="preserve"> </w:t>
      </w:r>
      <w:r w:rsidR="00000000">
        <w:rPr/>
        <w:t>suspended</w:t>
      </w:r>
      <w:r w:rsidR="00000000">
        <w:rPr>
          <w:spacing w:val="-3"/>
        </w:rPr>
        <w:t xml:space="preserve"> </w:t>
      </w:r>
      <w:r w:rsidR="00000000">
        <w:rPr/>
        <w:t xml:space="preserve">from the left hind leg along the fence running North/South on the western perimeter of the Reller Prairie property (SW 29th St.). The specimen was removed from the fence, allowing it to rest on its left side. To document </w:t>
      </w:r>
      <w:r w:rsidR="00000000">
        <w:rPr/>
        <w:t>taphonomic</w:t>
      </w:r>
      <w:r w:rsidR="00000000">
        <w:rPr/>
        <w:t xml:space="preserve"> processes, observational data of the positionality and state of decomposition of the remains were recorded for six weeks following deposition with a terminal date of July 11, 2024. To supplement observations, weather and temperature data were recorded</w:t>
      </w:r>
      <w:r w:rsidR="00000000">
        <w:rPr>
          <w:spacing w:val="-5"/>
        </w:rPr>
        <w:t xml:space="preserve"> </w:t>
      </w:r>
      <w:r w:rsidR="00000000">
        <w:rPr/>
        <w:t>(in</w:t>
      </w:r>
      <w:r w:rsidR="00000000">
        <w:rPr>
          <w:spacing w:val="-5"/>
        </w:rPr>
        <w:t xml:space="preserve"> </w:t>
      </w:r>
      <w:r w:rsidR="00000000">
        <w:rPr/>
        <w:t>Celsius)</w:t>
      </w:r>
      <w:r w:rsidR="00000000">
        <w:rPr>
          <w:spacing w:val="-5"/>
        </w:rPr>
        <w:t xml:space="preserve"> </w:t>
      </w:r>
      <w:r w:rsidR="00000000">
        <w:rPr/>
        <w:t>from</w:t>
      </w:r>
      <w:r w:rsidR="00000000">
        <w:rPr>
          <w:spacing w:val="-5"/>
        </w:rPr>
        <w:t xml:space="preserve"> </w:t>
      </w:r>
      <w:r w:rsidR="00000000">
        <w:rPr/>
        <w:t>the</w:t>
      </w:r>
      <w:r w:rsidR="00000000">
        <w:rPr>
          <w:spacing w:val="-5"/>
        </w:rPr>
        <w:t xml:space="preserve"> </w:t>
      </w:r>
      <w:r w:rsidR="00000000">
        <w:rPr/>
        <w:t>Martell</w:t>
      </w:r>
      <w:r w:rsidR="00000000">
        <w:rPr>
          <w:spacing w:val="-5"/>
        </w:rPr>
        <w:t xml:space="preserve"> </w:t>
      </w:r>
      <w:r w:rsidR="00000000">
        <w:rPr/>
        <w:t>Weather</w:t>
      </w:r>
      <w:r w:rsidR="00000000">
        <w:rPr>
          <w:spacing w:val="-5"/>
        </w:rPr>
        <w:t xml:space="preserve"> </w:t>
      </w:r>
      <w:r w:rsidR="00000000">
        <w:rPr/>
        <w:t>Channel</w:t>
      </w:r>
      <w:r w:rsidR="00000000">
        <w:rPr>
          <w:spacing w:val="-5"/>
        </w:rPr>
        <w:t xml:space="preserve"> </w:t>
      </w:r>
      <w:r w:rsidR="00000000">
        <w:rPr/>
        <w:t>over</w:t>
      </w:r>
      <w:r w:rsidR="00000000">
        <w:rPr>
          <w:spacing w:val="-5"/>
        </w:rPr>
        <w:t xml:space="preserve"> </w:t>
      </w:r>
      <w:r w:rsidR="00000000">
        <w:rPr/>
        <w:t>the</w:t>
      </w:r>
      <w:r w:rsidR="00000000">
        <w:rPr>
          <w:spacing w:val="-5"/>
        </w:rPr>
        <w:t xml:space="preserve"> </w:t>
      </w:r>
      <w:r w:rsidR="00000000">
        <w:rPr/>
        <w:t>six-week</w:t>
      </w:r>
      <w:r w:rsidR="00000000">
        <w:rPr>
          <w:spacing w:val="-5"/>
        </w:rPr>
        <w:t xml:space="preserve"> </w:t>
      </w:r>
      <w:r w:rsidR="00000000">
        <w:rPr/>
        <w:t>(4</w:t>
      </w:r>
      <w:r w:rsidR="49A1388B">
        <w:rPr/>
        <w:t>2</w:t>
      </w:r>
      <w:r w:rsidR="00000000">
        <w:rPr/>
        <w:t>-day)</w:t>
      </w:r>
      <w:r w:rsidR="00000000">
        <w:rPr>
          <w:spacing w:val="-5"/>
        </w:rPr>
        <w:t xml:space="preserve"> </w:t>
      </w:r>
      <w:r w:rsidR="00000000">
        <w:rPr/>
        <w:t>period</w:t>
      </w:r>
      <w:r w:rsidR="00000000">
        <w:rPr>
          <w:spacing w:val="-5"/>
        </w:rPr>
        <w:t xml:space="preserve"> </w:t>
      </w:r>
      <w:r w:rsidR="00000000">
        <w:rPr/>
        <w:t xml:space="preserve">(Time and Date 2024). The specimen was collected and cataloged at the Environmental Archaeology/Faunal Laboratory in Manter Hall on UNL’s City Campus, where further morphological data were gathered. The </w:t>
      </w:r>
      <w:r w:rsidR="00000000">
        <w:rPr/>
        <w:t>taphonomic</w:t>
      </w:r>
      <w:r w:rsidR="00000000">
        <w:rPr/>
        <w:t xml:space="preserve"> processes studied included rates of decomposition </w:t>
      </w:r>
      <w:r w:rsidR="00000000">
        <w:rPr/>
        <w:t xml:space="preserve">in accordance with</w:t>
      </w:r>
      <w:r w:rsidR="00000000">
        <w:rPr/>
        <w:t xml:space="preserve"> meteorological data, scavenger/insect activity, and general qualitative morphological changes.</w:t>
      </w:r>
    </w:p>
    <w:p w:rsidR="002B2CC7" w:rsidRDefault="00000000" w14:paraId="205FF958" w14:textId="77777777">
      <w:pPr>
        <w:pStyle w:val="BodyText"/>
        <w:spacing w:before="240" w:line="276" w:lineRule="auto"/>
        <w:ind w:left="100"/>
      </w:pPr>
      <w:r>
        <w:t>The</w:t>
      </w:r>
      <w:r>
        <w:rPr>
          <w:spacing w:val="-3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body</w:t>
      </w:r>
      <w:r>
        <w:rPr>
          <w:spacing w:val="-3"/>
        </w:rPr>
        <w:t xml:space="preserve"> </w:t>
      </w:r>
      <w:r>
        <w:t>score</w:t>
      </w:r>
      <w:r>
        <w:rPr>
          <w:spacing w:val="-3"/>
        </w:rPr>
        <w:t xml:space="preserve"> </w:t>
      </w:r>
      <w:r>
        <w:t>(TBS),</w:t>
      </w:r>
      <w:r>
        <w:rPr>
          <w:spacing w:val="-3"/>
        </w:rPr>
        <w:t xml:space="preserve"> </w:t>
      </w:r>
      <w:r>
        <w:t>calculated</w:t>
      </w:r>
      <w:r>
        <w:rPr>
          <w:spacing w:val="-3"/>
        </w:rPr>
        <w:t xml:space="preserve"> </w:t>
      </w:r>
      <w:r>
        <w:t>according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Megyesi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al.</w:t>
      </w:r>
      <w:r>
        <w:rPr>
          <w:spacing w:val="-3"/>
        </w:rPr>
        <w:t xml:space="preserve"> </w:t>
      </w:r>
      <w:r>
        <w:t>(2005),</w:t>
      </w:r>
      <w:r>
        <w:rPr>
          <w:spacing w:val="-3"/>
        </w:rPr>
        <w:t xml:space="preserve"> </w:t>
      </w:r>
      <w:r>
        <w:t>ranged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31 during the observation period. Based on the TBS calculations, it was determined that the</w:t>
      </w:r>
    </w:p>
    <w:p w:rsidR="002B2CC7" w:rsidRDefault="00000000" w14:paraId="5AA0057A" w14:textId="77777777">
      <w:pPr>
        <w:pStyle w:val="BodyText"/>
        <w:spacing w:before="60" w:line="276" w:lineRule="auto"/>
        <w:ind w:left="100"/>
      </w:pPr>
      <w:proofErr w:type="gramStart"/>
      <w:r>
        <w:t>decomposition</w:t>
      </w:r>
      <w:proofErr w:type="gramEnd"/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specimen</w:t>
      </w:r>
      <w:r>
        <w:rPr>
          <w:spacing w:val="-4"/>
        </w:rPr>
        <w:t xml:space="preserve"> </w:t>
      </w:r>
      <w:r>
        <w:t>followed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expected</w:t>
      </w:r>
      <w:r>
        <w:rPr>
          <w:spacing w:val="-4"/>
        </w:rPr>
        <w:t xml:space="preserve"> </w:t>
      </w:r>
      <w:r>
        <w:t>decomposition</w:t>
      </w:r>
      <w:r>
        <w:rPr>
          <w:spacing w:val="-4"/>
        </w:rPr>
        <w:t xml:space="preserve"> </w:t>
      </w:r>
      <w:r>
        <w:t>sequence,</w:t>
      </w:r>
      <w:r>
        <w:rPr>
          <w:spacing w:val="-4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continued analysis may elucidate specific Great Plains climatic indicators.</w:t>
      </w:r>
    </w:p>
    <w:p w:rsidR="002B2CC7" w:rsidRDefault="00000000" w14:paraId="47FF0EBC" w14:textId="77777777">
      <w:pPr>
        <w:pStyle w:val="BodyText"/>
        <w:spacing w:before="240"/>
        <w:ind w:left="161"/>
      </w:pPr>
      <w:r>
        <w:rPr>
          <w:spacing w:val="-2"/>
        </w:rPr>
        <w:t>References:</w:t>
      </w:r>
    </w:p>
    <w:p w:rsidR="002B2CC7" w:rsidRDefault="002B2CC7" w14:paraId="1EE50DFA" w14:textId="77777777">
      <w:pPr>
        <w:pStyle w:val="BodyText"/>
        <w:spacing w:before="5"/>
      </w:pPr>
    </w:p>
    <w:p w:rsidR="002B2CC7" w:rsidRDefault="00000000" w14:paraId="5455F4D4" w14:textId="77777777">
      <w:pPr>
        <w:pStyle w:val="BodyText"/>
        <w:spacing w:line="276" w:lineRule="auto"/>
        <w:ind w:left="820" w:hanging="720"/>
      </w:pPr>
      <w:r>
        <w:rPr>
          <w:color w:val="212121"/>
        </w:rPr>
        <w:t>Megyesi, M. S., Nawrocki, S. P., &amp; Haskell, N. H. (2005). Using accumulated degree-days to estimate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postmortem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interval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from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decomposed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human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remains.</w:t>
      </w:r>
      <w:r>
        <w:rPr>
          <w:color w:val="212121"/>
          <w:spacing w:val="-5"/>
        </w:rPr>
        <w:t xml:space="preserve"> </w:t>
      </w:r>
      <w:r>
        <w:rPr>
          <w:i/>
          <w:color w:val="212121"/>
        </w:rPr>
        <w:t>Journal</w:t>
      </w:r>
      <w:r>
        <w:rPr>
          <w:i/>
          <w:color w:val="212121"/>
          <w:spacing w:val="-5"/>
        </w:rPr>
        <w:t xml:space="preserve"> </w:t>
      </w:r>
      <w:r>
        <w:rPr>
          <w:i/>
          <w:color w:val="212121"/>
        </w:rPr>
        <w:t>of</w:t>
      </w:r>
      <w:r>
        <w:rPr>
          <w:i/>
          <w:color w:val="212121"/>
          <w:spacing w:val="-5"/>
        </w:rPr>
        <w:t xml:space="preserve"> </w:t>
      </w:r>
      <w:r>
        <w:rPr>
          <w:i/>
          <w:color w:val="212121"/>
        </w:rPr>
        <w:t>Forensic Sciences</w:t>
      </w:r>
      <w:r>
        <w:rPr>
          <w:color w:val="212121"/>
        </w:rPr>
        <w:t xml:space="preserve">, </w:t>
      </w:r>
      <w:r>
        <w:rPr>
          <w:i/>
          <w:color w:val="212121"/>
        </w:rPr>
        <w:t>50</w:t>
      </w:r>
      <w:r>
        <w:rPr>
          <w:color w:val="212121"/>
        </w:rPr>
        <w:t>(3), JFS2004017.</w:t>
      </w:r>
    </w:p>
    <w:p w:rsidR="002B2CC7" w:rsidRDefault="00000000" w14:paraId="009E4E06" w14:textId="77777777">
      <w:pPr>
        <w:spacing w:before="240" w:line="276" w:lineRule="auto"/>
        <w:ind w:left="820" w:hanging="720"/>
      </w:pPr>
      <w:r>
        <w:t>Time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Date.</w:t>
      </w:r>
      <w:r>
        <w:rPr>
          <w:spacing w:val="-5"/>
        </w:rPr>
        <w:t xml:space="preserve"> </w:t>
      </w:r>
      <w:r>
        <w:t>(2024).</w:t>
      </w:r>
      <w:r>
        <w:rPr>
          <w:spacing w:val="-5"/>
        </w:rPr>
        <w:t xml:space="preserve"> </w:t>
      </w:r>
      <w:r>
        <w:rPr>
          <w:i/>
        </w:rPr>
        <w:t>Past</w:t>
      </w:r>
      <w:r>
        <w:rPr>
          <w:i/>
          <w:spacing w:val="-5"/>
        </w:rPr>
        <w:t xml:space="preserve"> </w:t>
      </w:r>
      <w:r>
        <w:rPr>
          <w:i/>
        </w:rPr>
        <w:t>weather</w:t>
      </w:r>
      <w:r>
        <w:rPr>
          <w:i/>
          <w:spacing w:val="-5"/>
        </w:rPr>
        <w:t xml:space="preserve"> </w:t>
      </w:r>
      <w:r>
        <w:rPr>
          <w:i/>
        </w:rPr>
        <w:t>in</w:t>
      </w:r>
      <w:r>
        <w:rPr>
          <w:i/>
          <w:spacing w:val="-5"/>
        </w:rPr>
        <w:t xml:space="preserve"> </w:t>
      </w:r>
      <w:r>
        <w:rPr>
          <w:i/>
        </w:rPr>
        <w:t>Roca,</w:t>
      </w:r>
      <w:r>
        <w:rPr>
          <w:i/>
          <w:spacing w:val="-5"/>
        </w:rPr>
        <w:t xml:space="preserve"> </w:t>
      </w:r>
      <w:r>
        <w:rPr>
          <w:i/>
        </w:rPr>
        <w:t>Nebraska,</w:t>
      </w:r>
      <w:r>
        <w:rPr>
          <w:i/>
          <w:spacing w:val="-5"/>
        </w:rPr>
        <w:t xml:space="preserve"> </w:t>
      </w:r>
      <w:r>
        <w:rPr>
          <w:i/>
        </w:rPr>
        <w:t>USA</w:t>
      </w:r>
      <w:r>
        <w:rPr>
          <w:i/>
          <w:spacing w:val="-5"/>
        </w:rPr>
        <w:t xml:space="preserve"> </w:t>
      </w:r>
      <w:r>
        <w:t>Weather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2024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Roca,</w:t>
      </w:r>
      <w:r>
        <w:rPr>
          <w:spacing w:val="-5"/>
        </w:rPr>
        <w:t xml:space="preserve"> </w:t>
      </w:r>
      <w:r>
        <w:t xml:space="preserve">Nebraska, </w:t>
      </w:r>
      <w:r>
        <w:lastRenderedPageBreak/>
        <w:t xml:space="preserve">USA. (n.d.). </w:t>
      </w:r>
      <w:hyperlink r:id="rId5">
        <w:r>
          <w:t>https://www.timeanddate.com/weather/@5076341/historic?month=5&amp;year=2024</w:t>
        </w:r>
      </w:hyperlink>
    </w:p>
    <w:p w:rsidR="002B2CC7" w:rsidRDefault="00000000" w14:paraId="5423E9F6" w14:textId="77777777">
      <w:pPr>
        <w:pStyle w:val="BodyText"/>
        <w:spacing w:before="240" w:line="276" w:lineRule="auto"/>
        <w:ind w:left="820" w:right="142" w:hanging="720"/>
      </w:pPr>
      <w:proofErr w:type="spellStart"/>
      <w:r>
        <w:rPr>
          <w:color w:val="212121"/>
        </w:rPr>
        <w:t>Pokines</w:t>
      </w:r>
      <w:proofErr w:type="spellEnd"/>
      <w:r>
        <w:rPr>
          <w:color w:val="212121"/>
        </w:rPr>
        <w:t>, J. T. (2021). Faunal dispersal, reconcentration, and gnawing damage to bone in terrestrial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environments.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9"/>
        </w:rPr>
        <w:t xml:space="preserve"> </w:t>
      </w:r>
      <w:r>
        <w:rPr>
          <w:i/>
          <w:color w:val="212121"/>
        </w:rPr>
        <w:t>Manual</w:t>
      </w:r>
      <w:r>
        <w:rPr>
          <w:i/>
          <w:color w:val="212121"/>
          <w:spacing w:val="-9"/>
        </w:rPr>
        <w:t xml:space="preserve"> </w:t>
      </w:r>
      <w:r>
        <w:rPr>
          <w:i/>
          <w:color w:val="212121"/>
        </w:rPr>
        <w:t>of</w:t>
      </w:r>
      <w:r>
        <w:rPr>
          <w:i/>
          <w:color w:val="212121"/>
          <w:spacing w:val="-9"/>
        </w:rPr>
        <w:t xml:space="preserve"> </w:t>
      </w:r>
      <w:r>
        <w:rPr>
          <w:i/>
          <w:color w:val="212121"/>
        </w:rPr>
        <w:t>Forensic</w:t>
      </w:r>
      <w:r>
        <w:rPr>
          <w:i/>
          <w:color w:val="212121"/>
          <w:spacing w:val="-9"/>
        </w:rPr>
        <w:t xml:space="preserve"> </w:t>
      </w:r>
      <w:r>
        <w:rPr>
          <w:i/>
          <w:color w:val="212121"/>
        </w:rPr>
        <w:t>Taphonomy,</w:t>
      </w:r>
      <w:r>
        <w:rPr>
          <w:i/>
          <w:color w:val="212121"/>
          <w:spacing w:val="-9"/>
        </w:rPr>
        <w:t xml:space="preserve"> </w:t>
      </w:r>
      <w:r>
        <w:rPr>
          <w:i/>
          <w:color w:val="212121"/>
        </w:rPr>
        <w:t>2nd</w:t>
      </w:r>
      <w:r>
        <w:rPr>
          <w:i/>
          <w:color w:val="212121"/>
          <w:spacing w:val="-9"/>
        </w:rPr>
        <w:t xml:space="preserve"> </w:t>
      </w:r>
      <w:r>
        <w:rPr>
          <w:i/>
          <w:color w:val="212121"/>
        </w:rPr>
        <w:t>Edition</w:t>
      </w:r>
      <w:r>
        <w:rPr>
          <w:i/>
          <w:color w:val="212121"/>
          <w:spacing w:val="-9"/>
        </w:rPr>
        <w:t xml:space="preserve"> </w:t>
      </w:r>
      <w:r>
        <w:rPr>
          <w:color w:val="212121"/>
        </w:rPr>
        <w:t>(pp.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 xml:space="preserve">295-360), edited by James T. </w:t>
      </w:r>
      <w:proofErr w:type="spellStart"/>
      <w:r>
        <w:rPr>
          <w:color w:val="212121"/>
        </w:rPr>
        <w:t>Pokines</w:t>
      </w:r>
      <w:proofErr w:type="spellEnd"/>
      <w:r>
        <w:rPr>
          <w:color w:val="212121"/>
        </w:rPr>
        <w:t xml:space="preserve">, Erika N. </w:t>
      </w:r>
      <w:proofErr w:type="spellStart"/>
      <w:r>
        <w:rPr>
          <w:color w:val="212121"/>
        </w:rPr>
        <w:t>L’Abbé</w:t>
      </w:r>
      <w:proofErr w:type="spellEnd"/>
      <w:r>
        <w:rPr>
          <w:color w:val="212121"/>
        </w:rPr>
        <w:t>, and Steve A. Symes. CRC Press.</w:t>
      </w:r>
    </w:p>
    <w:p w:rsidR="002B2CC7" w:rsidRDefault="00000000" w14:paraId="00D35B8A" w14:textId="77777777">
      <w:pPr>
        <w:spacing w:before="240" w:line="276" w:lineRule="auto"/>
        <w:ind w:left="820" w:right="2036" w:hanging="720"/>
        <w:rPr>
          <w:sz w:val="24"/>
        </w:rPr>
      </w:pPr>
      <w:r>
        <w:rPr>
          <w:color w:val="212121"/>
          <w:sz w:val="24"/>
        </w:rPr>
        <w:t>Weather</w:t>
      </w:r>
      <w:r>
        <w:rPr>
          <w:color w:val="212121"/>
          <w:spacing w:val="-10"/>
          <w:sz w:val="24"/>
        </w:rPr>
        <w:t xml:space="preserve"> </w:t>
      </w:r>
      <w:r>
        <w:rPr>
          <w:color w:val="212121"/>
          <w:sz w:val="24"/>
        </w:rPr>
        <w:t>Atlas.</w:t>
      </w:r>
      <w:r>
        <w:rPr>
          <w:color w:val="212121"/>
          <w:spacing w:val="-10"/>
          <w:sz w:val="24"/>
        </w:rPr>
        <w:t xml:space="preserve"> </w:t>
      </w:r>
      <w:r>
        <w:rPr>
          <w:color w:val="212121"/>
          <w:sz w:val="24"/>
        </w:rPr>
        <w:t>(2024,</w:t>
      </w:r>
      <w:r>
        <w:rPr>
          <w:color w:val="212121"/>
          <w:spacing w:val="-10"/>
          <w:sz w:val="24"/>
        </w:rPr>
        <w:t xml:space="preserve"> </w:t>
      </w:r>
      <w:r>
        <w:rPr>
          <w:color w:val="212121"/>
          <w:sz w:val="24"/>
        </w:rPr>
        <w:t>May</w:t>
      </w:r>
      <w:r>
        <w:rPr>
          <w:color w:val="212121"/>
          <w:spacing w:val="-10"/>
          <w:sz w:val="24"/>
        </w:rPr>
        <w:t xml:space="preserve"> </w:t>
      </w:r>
      <w:r>
        <w:rPr>
          <w:color w:val="212121"/>
          <w:sz w:val="24"/>
        </w:rPr>
        <w:t>24).</w:t>
      </w:r>
      <w:r>
        <w:rPr>
          <w:color w:val="212121"/>
          <w:spacing w:val="-10"/>
          <w:sz w:val="24"/>
        </w:rPr>
        <w:t xml:space="preserve"> </w:t>
      </w:r>
      <w:r>
        <w:rPr>
          <w:i/>
          <w:color w:val="212121"/>
          <w:sz w:val="24"/>
        </w:rPr>
        <w:t>Yearly</w:t>
      </w:r>
      <w:r>
        <w:rPr>
          <w:i/>
          <w:color w:val="212121"/>
          <w:spacing w:val="-10"/>
          <w:sz w:val="24"/>
        </w:rPr>
        <w:t xml:space="preserve"> </w:t>
      </w:r>
      <w:r>
        <w:rPr>
          <w:i/>
          <w:color w:val="212121"/>
          <w:sz w:val="24"/>
        </w:rPr>
        <w:t>&amp;</w:t>
      </w:r>
      <w:r>
        <w:rPr>
          <w:i/>
          <w:color w:val="212121"/>
          <w:spacing w:val="-10"/>
          <w:sz w:val="24"/>
        </w:rPr>
        <w:t xml:space="preserve"> </w:t>
      </w:r>
      <w:r>
        <w:rPr>
          <w:i/>
          <w:color w:val="212121"/>
          <w:sz w:val="24"/>
        </w:rPr>
        <w:t>Monthly</w:t>
      </w:r>
      <w:r>
        <w:rPr>
          <w:i/>
          <w:color w:val="212121"/>
          <w:spacing w:val="-10"/>
          <w:sz w:val="24"/>
        </w:rPr>
        <w:t xml:space="preserve"> </w:t>
      </w:r>
      <w:r>
        <w:rPr>
          <w:i/>
          <w:color w:val="212121"/>
          <w:sz w:val="24"/>
        </w:rPr>
        <w:t>Weather</w:t>
      </w:r>
      <w:r>
        <w:rPr>
          <w:i/>
          <w:color w:val="212121"/>
          <w:spacing w:val="-10"/>
          <w:sz w:val="24"/>
        </w:rPr>
        <w:t xml:space="preserve"> </w:t>
      </w:r>
      <w:r>
        <w:rPr>
          <w:i/>
          <w:color w:val="212121"/>
          <w:sz w:val="24"/>
        </w:rPr>
        <w:t>-</w:t>
      </w:r>
      <w:r>
        <w:rPr>
          <w:i/>
          <w:color w:val="212121"/>
          <w:spacing w:val="-10"/>
          <w:sz w:val="24"/>
        </w:rPr>
        <w:t xml:space="preserve"> </w:t>
      </w:r>
      <w:r>
        <w:rPr>
          <w:i/>
          <w:color w:val="212121"/>
          <w:sz w:val="24"/>
        </w:rPr>
        <w:t>Nebraska,</w:t>
      </w:r>
      <w:r>
        <w:rPr>
          <w:i/>
          <w:color w:val="212121"/>
          <w:spacing w:val="-10"/>
          <w:sz w:val="24"/>
        </w:rPr>
        <w:t xml:space="preserve"> </w:t>
      </w:r>
      <w:r>
        <w:rPr>
          <w:i/>
          <w:color w:val="212121"/>
          <w:sz w:val="24"/>
        </w:rPr>
        <w:t>USA</w:t>
      </w:r>
      <w:r>
        <w:rPr>
          <w:color w:val="212121"/>
          <w:sz w:val="24"/>
        </w:rPr>
        <w:t xml:space="preserve">. </w:t>
      </w:r>
      <w:hyperlink r:id="rId6">
        <w:r>
          <w:rPr>
            <w:color w:val="212121"/>
            <w:spacing w:val="-2"/>
            <w:sz w:val="24"/>
          </w:rPr>
          <w:t>https://www.weather-atlas.com/en/nebraska-usa-climate</w:t>
        </w:r>
      </w:hyperlink>
    </w:p>
    <w:p w:rsidR="002B2CC7" w:rsidRDefault="00000000" w14:paraId="476B5B8E" w14:textId="77777777">
      <w:pPr>
        <w:pStyle w:val="BodyText"/>
        <w:spacing w:before="240" w:line="276" w:lineRule="auto"/>
        <w:ind w:left="820" w:right="142" w:hanging="720"/>
      </w:pPr>
      <w:r>
        <w:rPr>
          <w:color w:val="212121"/>
        </w:rPr>
        <w:t>Wescott,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D.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J.,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Steadman,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D.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W.,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Miller,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N.,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Sauerwein,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K.,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Clemmons,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C.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M.,</w:t>
      </w:r>
      <w:r>
        <w:rPr>
          <w:color w:val="212121"/>
          <w:spacing w:val="-7"/>
        </w:rPr>
        <w:t xml:space="preserve"> </w:t>
      </w:r>
      <w:proofErr w:type="spellStart"/>
      <w:r>
        <w:rPr>
          <w:color w:val="212121"/>
        </w:rPr>
        <w:t>Gleiber</w:t>
      </w:r>
      <w:proofErr w:type="spellEnd"/>
      <w:r>
        <w:rPr>
          <w:color w:val="212121"/>
        </w:rPr>
        <w:t>,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D.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S.,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 xml:space="preserve">... &amp; Bytheway, J. A. (2018). Validation of the total body score/accumulated degree-day model at three human decomposition facilities. </w:t>
      </w:r>
      <w:r>
        <w:rPr>
          <w:i/>
          <w:color w:val="212121"/>
        </w:rPr>
        <w:t>Forensic Anthropology</w:t>
      </w:r>
      <w:r>
        <w:rPr>
          <w:color w:val="212121"/>
        </w:rPr>
        <w:t xml:space="preserve">, </w:t>
      </w:r>
      <w:r>
        <w:rPr>
          <w:i/>
          <w:color w:val="212121"/>
        </w:rPr>
        <w:t>1</w:t>
      </w:r>
      <w:r>
        <w:rPr>
          <w:color w:val="212121"/>
        </w:rPr>
        <w:t>(3), 143-149.</w:t>
      </w:r>
    </w:p>
    <w:sectPr w:rsidR="002B2CC7">
      <w:pgSz w:w="12240" w:h="15840" w:orient="portrait"/>
      <w:pgMar w:top="1380" w:right="13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CC7"/>
    <w:rsid w:val="00000000"/>
    <w:rsid w:val="002B2CC7"/>
    <w:rsid w:val="00641DD4"/>
    <w:rsid w:val="00DC2B0A"/>
    <w:rsid w:val="180DA937"/>
    <w:rsid w:val="49A1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9807D"/>
  <w15:docId w15:val="{18B36586-16FF-4B5C-816C-8BA91812C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115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://www.weather-atlas.com/en/nebraska-usa-climate" TargetMode="External" Id="rId6" /><Relationship Type="http://schemas.openxmlformats.org/officeDocument/2006/relationships/hyperlink" Target="https://www.timeanddate.com/weather/%405076341/historic?month=5&amp;year=2024" TargetMode="External" Id="rId5" /><Relationship Type="http://schemas.openxmlformats.org/officeDocument/2006/relationships/hyperlink" Target="mailto:tpate3@huskers.unl.edu" TargetMode="Externa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TAPHONOMIC ANALYSIS OF ODOCOILEUS VIRGINIANUS DECOMPOSITION IN THE GREAT PLAINS: A PILOT STUDY</dc:title>
  <dc:creator>Dakota Taylor</dc:creator>
  <lastModifiedBy>Dakota Taylor</lastModifiedBy>
  <revision>3</revision>
  <dcterms:created xsi:type="dcterms:W3CDTF">2025-04-07T17:38:00.0000000Z</dcterms:created>
  <dcterms:modified xsi:type="dcterms:W3CDTF">2025-04-15T14:28:08.3759611Z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m136 Google Docs Renderer</vt:lpwstr>
  </property>
</Properties>
</file>