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4"/>
        </w:rPr>
        <w:t>MOSQUITOES</w:t>
      </w:r>
      <w:r>
        <w:rPr>
          <w:spacing w:val="51"/>
        </w:rPr>
        <w:t> </w:t>
      </w:r>
      <w:r>
        <w:rPr>
          <w:spacing w:val="4"/>
        </w:rPr>
        <w:t>IN</w:t>
      </w:r>
      <w:r>
        <w:rPr>
          <w:spacing w:val="52"/>
        </w:rPr>
        <w:t> </w:t>
      </w:r>
      <w:r>
        <w:rPr>
          <w:spacing w:val="4"/>
        </w:rPr>
        <w:t>NEBRASKA:</w:t>
      </w:r>
      <w:r>
        <w:rPr>
          <w:spacing w:val="49"/>
        </w:rPr>
        <w:t> </w:t>
      </w:r>
      <w:r>
        <w:rPr>
          <w:spacing w:val="4"/>
        </w:rPr>
        <w:t>WHAT</w:t>
      </w:r>
      <w:r>
        <w:rPr>
          <w:spacing w:val="45"/>
        </w:rPr>
        <w:t> </w:t>
      </w:r>
      <w:r>
        <w:rPr>
          <w:spacing w:val="4"/>
        </w:rPr>
        <w:t>ARE</w:t>
      </w:r>
      <w:r>
        <w:rPr>
          <w:spacing w:val="48"/>
        </w:rPr>
        <w:t> </w:t>
      </w:r>
      <w:r>
        <w:rPr>
          <w:spacing w:val="4"/>
        </w:rPr>
        <w:t>THEY</w:t>
      </w:r>
      <w:r>
        <w:rPr>
          <w:spacing w:val="49"/>
        </w:rPr>
        <w:t> </w:t>
      </w:r>
      <w:r>
        <w:rPr>
          <w:spacing w:val="-2"/>
        </w:rPr>
        <w:t>CARRYING?</w:t>
      </w:r>
    </w:p>
    <w:p>
      <w:pPr>
        <w:pStyle w:val="BodyText"/>
        <w:spacing w:line="410" w:lineRule="auto" w:before="216"/>
        <w:ind w:left="821" w:right="216"/>
        <w:rPr>
          <w:rFonts w:ascii="Calibri" w:hAnsi="Calibri"/>
        </w:rPr>
      </w:pPr>
      <w:r>
        <w:rPr>
          <w:rFonts w:ascii="Calibri" w:hAnsi="Calibri"/>
          <w:w w:val="105"/>
          <w:u w:val="single"/>
        </w:rPr>
        <w:t>Tori Thurber</w:t>
      </w:r>
      <w:r>
        <w:rPr>
          <w:rFonts w:ascii="Calibri" w:hAnsi="Calibri"/>
          <w:w w:val="105"/>
          <w:u w:val="none"/>
        </w:rPr>
        <w:t>, Gwenyth Coleman, Leslie Rault-Bucklin, </w:t>
      </w:r>
      <w:hyperlink r:id="rId5">
        <w:r>
          <w:rPr>
            <w:rFonts w:ascii="Calibri" w:hAnsi="Calibri"/>
            <w:color w:val="467885"/>
            <w:w w:val="105"/>
            <w:u w:val="single" w:color="467885"/>
          </w:rPr>
          <w:t>tthurber3@huskers.unl.edu</w:t>
        </w:r>
      </w:hyperlink>
      <w:r>
        <w:rPr>
          <w:rFonts w:ascii="Calibri" w:hAnsi="Calibri"/>
          <w:color w:val="467885"/>
          <w:w w:val="105"/>
          <w:u w:val="none"/>
        </w:rPr>
        <w:t> </w:t>
      </w:r>
      <w:r>
        <w:rPr>
          <w:rFonts w:ascii="Calibri" w:hAnsi="Calibri"/>
          <w:w w:val="105"/>
          <w:u w:val="none"/>
        </w:rPr>
        <w:t>1 – Department of Entomology, University of Nebraska – Lincoln, Lincoln, NE</w:t>
      </w:r>
    </w:p>
    <w:p>
      <w:pPr>
        <w:pStyle w:val="BodyText"/>
        <w:spacing w:before="209"/>
        <w:rPr>
          <w:rFonts w:ascii="Calibri"/>
        </w:rPr>
      </w:pPr>
    </w:p>
    <w:p>
      <w:pPr>
        <w:pStyle w:val="BodyText"/>
        <w:spacing w:line="230" w:lineRule="auto"/>
        <w:ind w:left="100" w:right="99"/>
      </w:pPr>
      <w:r>
        <w:rPr/>
        <w:t>Mosquitoes are common vectors and have been found to carry West Nile Virus (WNV), Heartworm, and </w:t>
      </w:r>
      <w:r>
        <w:rPr>
          <w:i/>
        </w:rPr>
        <w:t>Francisella tularensis</w:t>
      </w:r>
      <w:r>
        <w:rPr/>
        <w:t>, with </w:t>
      </w:r>
      <w:r>
        <w:rPr>
          <w:i/>
        </w:rPr>
        <w:t>Francisella tularensis </w:t>
      </w:r>
      <w:r>
        <w:rPr/>
        <w:t>being more commonly carried by ticks in the United States. However, the species of mosquitoes that shows a positive result for what is being tested for should be known. The collected samples from this experiment are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rural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Nebraska,</w:t>
      </w:r>
      <w:r>
        <w:rPr>
          <w:spacing w:val="-3"/>
        </w:rPr>
        <w:t> </w:t>
      </w:r>
      <w:r>
        <w:rPr/>
        <w:t>and the</w:t>
      </w:r>
      <w:r>
        <w:rPr>
          <w:spacing w:val="-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can be</w:t>
      </w:r>
      <w:r>
        <w:rPr>
          <w:spacing w:val="-5"/>
        </w:rPr>
        <w:t> </w:t>
      </w:r>
      <w:r>
        <w:rPr/>
        <w:t>compared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mosquitoes</w:t>
      </w:r>
      <w:r>
        <w:rPr>
          <w:spacing w:val="-2"/>
        </w:rPr>
        <w:t> </w:t>
      </w:r>
      <w:r>
        <w:rPr/>
        <w:t>collected in urban areas of Nebraska to determine if species known for being carriers are present in more densely populated areas. The research included testing if primers worked, extracting RNA/gDNA, and adjusting concentrations of RNA/gDNA from our samples to find the best concentration that</w:t>
      </w:r>
      <w:r>
        <w:rPr>
          <w:spacing w:val="-5"/>
        </w:rPr>
        <w:t> </w:t>
      </w:r>
      <w:r>
        <w:rPr/>
        <w:t>would</w:t>
      </w:r>
      <w:r>
        <w:rPr>
          <w:spacing w:val="-3"/>
        </w:rPr>
        <w:t> </w:t>
      </w:r>
      <w:r>
        <w:rPr/>
        <w:t>allow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detection</w:t>
      </w:r>
      <w:r>
        <w:rPr>
          <w:spacing w:val="-3"/>
        </w:rPr>
        <w:t> </w:t>
      </w:r>
      <w:r>
        <w:rPr/>
        <w:t>through qPCR.</w:t>
      </w:r>
      <w:r>
        <w:rPr>
          <w:spacing w:val="-3"/>
        </w:rPr>
        <w:t> </w:t>
      </w:r>
      <w:r>
        <w:rPr/>
        <w:t>Detection through</w:t>
      </w:r>
      <w:r>
        <w:rPr>
          <w:spacing w:val="-3"/>
        </w:rPr>
        <w:t> </w:t>
      </w:r>
      <w:r>
        <w:rPr/>
        <w:t>qPCR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vital part of this research as it can measure DNA amplification after each thermal cycle. Results showed</w:t>
      </w:r>
      <w:r>
        <w:rPr>
          <w:spacing w:val="-2"/>
        </w:rPr>
        <w:t> </w:t>
      </w:r>
      <w:r>
        <w:rPr/>
        <w:t>positive</w:t>
      </w:r>
      <w:r>
        <w:rPr>
          <w:spacing w:val="-4"/>
        </w:rPr>
        <w:t> </w:t>
      </w:r>
      <w:r>
        <w:rPr/>
        <w:t>samples</w:t>
      </w:r>
      <w:r>
        <w:rPr>
          <w:spacing w:val="-1"/>
        </w:rPr>
        <w:t> </w:t>
      </w:r>
      <w:r>
        <w:rPr/>
        <w:t>for Heartworm,</w:t>
      </w:r>
      <w:r>
        <w:rPr>
          <w:spacing w:val="-2"/>
        </w:rPr>
        <w:t> </w:t>
      </w:r>
      <w:r>
        <w:rPr/>
        <w:t>WNV,</w:t>
      </w:r>
      <w:r>
        <w:rPr>
          <w:spacing w:val="-2"/>
        </w:rPr>
        <w:t> </w:t>
      </w:r>
      <w:r>
        <w:rPr/>
        <w:t>and </w:t>
      </w:r>
      <w:r>
        <w:rPr>
          <w:i/>
        </w:rPr>
        <w:t>Francisella tularensis </w:t>
      </w:r>
      <w:r>
        <w:rPr/>
        <w:t>from</w:t>
      </w:r>
      <w:r>
        <w:rPr>
          <w:spacing w:val="-4"/>
        </w:rPr>
        <w:t> </w:t>
      </w:r>
      <w:r>
        <w:rPr/>
        <w:t>various</w:t>
      </w:r>
      <w:r>
        <w:rPr>
          <w:spacing w:val="-1"/>
        </w:rPr>
        <w:t> </w:t>
      </w:r>
      <w:r>
        <w:rPr/>
        <w:t>species of Culex, Ochlerotatus, Aedes, and Psorophora. This research demonstrates the importance of awareness of which species are common carriers and what they can be carriers of.</w:t>
      </w:r>
    </w:p>
    <w:sectPr>
      <w:type w:val="continuous"/>
      <w:pgSz w:w="12240" w:h="15840"/>
      <w:pgMar w:top="1820" w:bottom="280" w:left="13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9"/>
      <w:ind w:left="100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thurber3@huskers.unl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Thurber</dc:creator>
  <dcterms:created xsi:type="dcterms:W3CDTF">2025-02-28T04:01:45Z</dcterms:created>
  <dcterms:modified xsi:type="dcterms:W3CDTF">2025-02-28T04:01:45Z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2025-02-28T00:00:00Z</vt:filetime>
  </property>
</Properties>
</file>