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STEWARDS OF THE DEAD: ETHICAL PRACTICES AND CHALLENGES IN THE CURATION OF HUMAN SKELETAL COLLECTIONS</w:t>
      </w:r>
      <w:r w:rsidDel="00000000" w:rsidR="00000000" w:rsidRPr="00000000">
        <w:rPr>
          <w:rtl w:val="0"/>
        </w:rPr>
      </w:r>
    </w:p>
    <w:p w:rsidR="00000000" w:rsidDel="00000000" w:rsidP="00000000" w:rsidRDefault="00000000" w:rsidRPr="00000000" w14:paraId="0000000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Lillie Turpin</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lturpin2@huskers.unl.edu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Global and Integrative Studies, University of Nebraska, Lincoln, NE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4"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literature review examines the history of skeletal collections and the experiences, roles, responsibilities, and ethical considerations of professionals tasked with the stewardship of human skeletal collections. This review will explore how professionals navigate preservation, access, and repatriation issues within the historical context of the beginnings of skeletal collections (Blakey 2021). While many professionals emphasize the educational and research value of skeletal collections, they also face increasing demands for decolonization and repatriation under laws such as NAGPRA (Nash and Colwell 2020). Stewards also face ethical concerns regarding non-donated skeletal collections, for which clear legal and institutional guidelines remain lacking (Agarwal 2024). This review will contextualize these challenges within broader ethical, legal, and historical discussions. By examining both professional perspectives and existing scholarship, the study aims to reveal how personal and professional ethics shape decisions regarding skeletal remains, particularly in cases where provenance is uncertain (Colwell and Nash 2015). This study will contribute to ongoing discussions about the future of human remains in research and public institutions and ethical best practices in osteological education.</w:t>
      </w:r>
    </w:p>
    <w:p w:rsidR="00000000" w:rsidDel="00000000" w:rsidP="00000000" w:rsidRDefault="00000000" w:rsidRPr="00000000" w14:paraId="00000006">
      <w:pPr>
        <w:spacing w:after="4" w:line="25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4" w:line="25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4" w:line="250" w:lineRule="auto"/>
        <w:ind w:lef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9">
      <w:pPr>
        <w:spacing w:after="4" w:line="25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4" w:line="25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Agarwal, Sabrina C. 2024. The Bioethics of Skeletal Anatomy Collections from India. N</w:t>
      </w:r>
      <w:r w:rsidDel="00000000" w:rsidR="00000000" w:rsidRPr="00000000">
        <w:rPr>
          <w:rFonts w:ascii="Times New Roman" w:cs="Times New Roman" w:eastAsia="Times New Roman" w:hAnsi="Times New Roman"/>
          <w:i w:val="1"/>
          <w:sz w:val="24"/>
          <w:szCs w:val="24"/>
          <w:rtl w:val="0"/>
        </w:rPr>
        <w:t xml:space="preserve">ature Communications</w:t>
      </w:r>
      <w:r w:rsidDel="00000000" w:rsidR="00000000" w:rsidRPr="00000000">
        <w:rPr>
          <w:rFonts w:ascii="Times New Roman" w:cs="Times New Roman" w:eastAsia="Times New Roman" w:hAnsi="Times New Roman"/>
          <w:sz w:val="24"/>
          <w:szCs w:val="24"/>
          <w:rtl w:val="0"/>
        </w:rPr>
        <w:t xml:space="preserve"> 15(1):1692.</w:t>
      </w:r>
    </w:p>
    <w:p w:rsidR="00000000" w:rsidDel="00000000" w:rsidP="00000000" w:rsidRDefault="00000000" w:rsidRPr="00000000" w14:paraId="0000000B">
      <w:pPr>
        <w:spacing w:after="4" w:line="25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4" w:line="25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Blakey, Michael L. 2021. Understanding Racism in Physical (Biological) Anthropology. </w:t>
      </w:r>
      <w:r w:rsidDel="00000000" w:rsidR="00000000" w:rsidRPr="00000000">
        <w:rPr>
          <w:rFonts w:ascii="Times New Roman" w:cs="Times New Roman" w:eastAsia="Times New Roman" w:hAnsi="Times New Roman"/>
          <w:i w:val="1"/>
          <w:sz w:val="24"/>
          <w:szCs w:val="24"/>
          <w:rtl w:val="0"/>
        </w:rPr>
        <w:t xml:space="preserve">American Journal of Physical Anthropology</w:t>
      </w:r>
      <w:r w:rsidDel="00000000" w:rsidR="00000000" w:rsidRPr="00000000">
        <w:rPr>
          <w:rFonts w:ascii="Times New Roman" w:cs="Times New Roman" w:eastAsia="Times New Roman" w:hAnsi="Times New Roman"/>
          <w:sz w:val="24"/>
          <w:szCs w:val="24"/>
          <w:rtl w:val="0"/>
        </w:rPr>
        <w:t xml:space="preserve"> 175(2):316–325.</w:t>
      </w:r>
    </w:p>
    <w:p w:rsidR="00000000" w:rsidDel="00000000" w:rsidP="00000000" w:rsidRDefault="00000000" w:rsidRPr="00000000" w14:paraId="0000000D">
      <w:pPr>
        <w:spacing w:after="4" w:line="25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4" w:line="25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Colwell, Chip, and S. Nash. 2015. Repatriating Human Remains in the Absence of Consent. </w:t>
      </w:r>
      <w:r w:rsidDel="00000000" w:rsidR="00000000" w:rsidRPr="00000000">
        <w:rPr>
          <w:rFonts w:ascii="Times New Roman" w:cs="Times New Roman" w:eastAsia="Times New Roman" w:hAnsi="Times New Roman"/>
          <w:i w:val="1"/>
          <w:sz w:val="24"/>
          <w:szCs w:val="24"/>
          <w:rtl w:val="0"/>
        </w:rPr>
        <w:t xml:space="preserve">SAA Rec</w:t>
      </w:r>
      <w:r w:rsidDel="00000000" w:rsidR="00000000" w:rsidRPr="00000000">
        <w:rPr>
          <w:rFonts w:ascii="Times New Roman" w:cs="Times New Roman" w:eastAsia="Times New Roman" w:hAnsi="Times New Roman"/>
          <w:sz w:val="24"/>
          <w:szCs w:val="24"/>
          <w:rtl w:val="0"/>
        </w:rPr>
        <w:t xml:space="preserve"> 15:14–16.</w:t>
      </w:r>
    </w:p>
    <w:p w:rsidR="00000000" w:rsidDel="00000000" w:rsidP="00000000" w:rsidRDefault="00000000" w:rsidRPr="00000000" w14:paraId="0000000F">
      <w:pPr>
        <w:spacing w:after="4" w:line="25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4" w:line="25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Nash, Stephen E., and Chip Colwell. 2020. NAGPRA at 30: the effects of repatriation. </w:t>
      </w:r>
      <w:r w:rsidDel="00000000" w:rsidR="00000000" w:rsidRPr="00000000">
        <w:rPr>
          <w:rFonts w:ascii="Times New Roman" w:cs="Times New Roman" w:eastAsia="Times New Roman" w:hAnsi="Times New Roman"/>
          <w:i w:val="1"/>
          <w:sz w:val="24"/>
          <w:szCs w:val="24"/>
          <w:rtl w:val="0"/>
        </w:rPr>
        <w:t xml:space="preserve">Annual Review of Anthropology</w:t>
      </w:r>
      <w:r w:rsidDel="00000000" w:rsidR="00000000" w:rsidRPr="00000000">
        <w:rPr>
          <w:rFonts w:ascii="Times New Roman" w:cs="Times New Roman" w:eastAsia="Times New Roman" w:hAnsi="Times New Roman"/>
          <w:sz w:val="24"/>
          <w:szCs w:val="24"/>
          <w:rtl w:val="0"/>
        </w:rPr>
        <w:t xml:space="preserve"> 49(1):225-239.</w:t>
      </w:r>
      <w:r w:rsidDel="00000000" w:rsidR="00000000" w:rsidRPr="00000000">
        <w:rPr>
          <w:rtl w:val="0"/>
        </w:rPr>
      </w:r>
    </w:p>
    <w:p w:rsidR="00000000" w:rsidDel="00000000" w:rsidP="00000000" w:rsidRDefault="00000000" w:rsidRPr="00000000" w14:paraId="00000011">
      <w:pPr>
        <w:spacing w:after="4" w:line="250" w:lineRule="auto"/>
        <w:ind w:left="-5" w:hanging="10"/>
        <w:rPr>
          <w:sz w:val="24"/>
          <w:szCs w:val="24"/>
        </w:rPr>
      </w:pPr>
      <w:r w:rsidDel="00000000" w:rsidR="00000000" w:rsidRPr="00000000">
        <w:rPr>
          <w:rtl w:val="0"/>
        </w:rPr>
      </w:r>
    </w:p>
    <w:p w:rsidR="00000000" w:rsidDel="00000000" w:rsidP="00000000" w:rsidRDefault="00000000" w:rsidRPr="00000000" w14:paraId="00000012">
      <w:pPr>
        <w:spacing w:after="4" w:line="250" w:lineRule="auto"/>
        <w:ind w:left="-5" w:hanging="1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A376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oc3LZBoxF7Vt9Gd+sBM6ChwoA==">CgMxLjA4AHIhMWtQdlk2QUJPa2NsYmFGa1BCOUhhekEtZWlrZWpVb3p2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2022-02-25T16:12:00Z</dcterms:created>
  <dc:creator>David Harwood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