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B1C4" w14:textId="6A92A7A8" w:rsidR="0002285F" w:rsidRDefault="00F07267" w:rsidP="00A801C3">
      <w:pPr>
        <w:pStyle w:val="NormalWeb"/>
        <w:spacing w:before="0" w:beforeAutospacing="0" w:after="0" w:afterAutospacing="0"/>
        <w:jc w:val="both"/>
        <w:rPr>
          <w:color w:val="000000"/>
        </w:rPr>
      </w:pPr>
      <w:r>
        <w:rPr>
          <w:b/>
          <w:bCs/>
          <w:color w:val="000000"/>
        </w:rPr>
        <w:t xml:space="preserve">INFLUENCE OF ARENE SIZE AND GEOMETRY IN ANTISEPTIC </w:t>
      </w:r>
      <w:r w:rsidR="00951C02">
        <w:rPr>
          <w:b/>
          <w:bCs/>
          <w:color w:val="000000"/>
        </w:rPr>
        <w:t>1,2,3-TRIAZOLIUM SALTS</w:t>
      </w:r>
    </w:p>
    <w:p w14:paraId="2A831077" w14:textId="07086ACA" w:rsidR="00951C02" w:rsidRDefault="000F336F" w:rsidP="00A801C3">
      <w:pPr>
        <w:pStyle w:val="NormalWeb"/>
        <w:spacing w:before="0" w:beforeAutospacing="0" w:after="0" w:afterAutospacing="0"/>
        <w:ind w:left="720"/>
        <w:jc w:val="both"/>
        <w:rPr>
          <w:color w:val="000000"/>
        </w:rPr>
      </w:pPr>
      <w:r w:rsidRPr="00317B30">
        <w:rPr>
          <w:color w:val="000000"/>
          <w:u w:val="single"/>
        </w:rPr>
        <w:t>Emily M. Hanneken</w:t>
      </w:r>
      <w:r>
        <w:rPr>
          <w:color w:val="000000"/>
          <w:vertAlign w:val="superscript"/>
        </w:rPr>
        <w:t>1</w:t>
      </w:r>
      <w:r w:rsidR="00317B30">
        <w:rPr>
          <w:color w:val="000000"/>
        </w:rPr>
        <w:t>, Kaylen D. Lathrum</w:t>
      </w:r>
      <w:r w:rsidR="00317B30">
        <w:rPr>
          <w:color w:val="000000"/>
          <w:vertAlign w:val="superscript"/>
        </w:rPr>
        <w:t>1</w:t>
      </w:r>
      <w:r w:rsidR="00317B30">
        <w:rPr>
          <w:color w:val="000000"/>
        </w:rPr>
        <w:t>, James T. Fletcher</w:t>
      </w:r>
      <w:r w:rsidR="00317B30">
        <w:rPr>
          <w:color w:val="000000"/>
          <w:vertAlign w:val="superscript"/>
        </w:rPr>
        <w:t>1</w:t>
      </w:r>
    </w:p>
    <w:p w14:paraId="2DC76C77" w14:textId="1BD71827" w:rsidR="00317B30" w:rsidRDefault="00317B30" w:rsidP="00A801C3">
      <w:pPr>
        <w:pStyle w:val="NormalWeb"/>
        <w:spacing w:before="0" w:beforeAutospacing="0" w:after="0" w:afterAutospacing="0"/>
        <w:ind w:left="720"/>
        <w:jc w:val="both"/>
        <w:rPr>
          <w:color w:val="000000"/>
        </w:rPr>
      </w:pPr>
      <w:hyperlink r:id="rId4" w:history="1">
        <w:r w:rsidRPr="009C5BD9">
          <w:rPr>
            <w:rStyle w:val="Hyperlink"/>
          </w:rPr>
          <w:t>emilyhanneken@creighton.edu</w:t>
        </w:r>
      </w:hyperlink>
    </w:p>
    <w:p w14:paraId="3FDA4285" w14:textId="77777777" w:rsidR="00A801C3" w:rsidRDefault="003A6975" w:rsidP="00A801C3">
      <w:pPr>
        <w:pStyle w:val="NormalWeb"/>
        <w:spacing w:before="0" w:beforeAutospacing="0" w:after="0" w:afterAutospacing="0"/>
        <w:ind w:left="720"/>
        <w:jc w:val="both"/>
        <w:rPr>
          <w:color w:val="000000"/>
        </w:rPr>
      </w:pPr>
      <w:r>
        <w:rPr>
          <w:color w:val="000000"/>
        </w:rPr>
        <w:t xml:space="preserve">1 – Department of Chemistry and Biochemistry, Creighton University, </w:t>
      </w:r>
      <w:r w:rsidR="002F533F">
        <w:rPr>
          <w:color w:val="000000"/>
        </w:rPr>
        <w:t>Omaha, NE</w:t>
      </w:r>
    </w:p>
    <w:p w14:paraId="0A3E76FA" w14:textId="77777777" w:rsidR="00A801C3" w:rsidRDefault="00A801C3" w:rsidP="00A801C3">
      <w:pPr>
        <w:pStyle w:val="NormalWeb"/>
        <w:spacing w:before="0" w:beforeAutospacing="0" w:after="0" w:afterAutospacing="0"/>
        <w:jc w:val="both"/>
        <w:rPr>
          <w:color w:val="000000"/>
        </w:rPr>
      </w:pPr>
    </w:p>
    <w:p w14:paraId="5400DA5C" w14:textId="601B1697" w:rsidR="00E83BCC" w:rsidRPr="0002285F" w:rsidRDefault="0002285F" w:rsidP="00A801C3">
      <w:pPr>
        <w:pStyle w:val="NormalWeb"/>
        <w:spacing w:before="0" w:beforeAutospacing="0" w:after="0" w:afterAutospacing="0"/>
        <w:jc w:val="both"/>
        <w:rPr>
          <w:color w:val="000000"/>
        </w:rPr>
      </w:pPr>
      <w:r w:rsidRPr="005966E2">
        <w:rPr>
          <w:color w:val="000000"/>
        </w:rPr>
        <w:t>Quaternary ammonium compounds (QACs) are a class of chemicals that can display antiseptic properties due to their combination of hydrophobicity and cationic nature. Found in many commercial disinfectants, QACs can destabilize cell membranes and lead to fatal cell leakage. Previous research has shown that trisubstituted-1,2,</w:t>
      </w:r>
      <w:proofErr w:type="gramStart"/>
      <w:r w:rsidRPr="005966E2">
        <w:rPr>
          <w:color w:val="000000"/>
        </w:rPr>
        <w:t>3,-</w:t>
      </w:r>
      <w:proofErr w:type="gramEnd"/>
      <w:r w:rsidRPr="005966E2">
        <w:rPr>
          <w:color w:val="000000"/>
        </w:rPr>
        <w:t xml:space="preserve">triazolium salts display antiseptic properties that vary with their substituents. </w:t>
      </w:r>
      <w:bookmarkStart w:id="0" w:name="OLE_LINK1"/>
      <w:bookmarkStart w:id="1" w:name="OLE_LINK2"/>
      <w:r w:rsidRPr="005966E2">
        <w:rPr>
          <w:color w:val="000000"/>
        </w:rPr>
        <w:t>The goal of this study was to examine how varying the aryl substituent ring size and overall geometry of 1,5-diaryl-1,2,3-triazolium salts impacted antiseptic properties</w:t>
      </w:r>
      <w:bookmarkEnd w:id="0"/>
      <w:bookmarkEnd w:id="1"/>
      <w:r w:rsidRPr="005966E2">
        <w:rPr>
          <w:color w:val="000000"/>
        </w:rPr>
        <w:t xml:space="preserve">. Target triazolium salt compounds were synthesized using a base-catalyzed click chemistry approach between </w:t>
      </w:r>
      <w:proofErr w:type="spellStart"/>
      <w:r w:rsidRPr="005966E2">
        <w:rPr>
          <w:color w:val="000000"/>
        </w:rPr>
        <w:t>azides</w:t>
      </w:r>
      <w:proofErr w:type="spellEnd"/>
      <w:r w:rsidRPr="005966E2">
        <w:rPr>
          <w:color w:val="000000"/>
        </w:rPr>
        <w:t xml:space="preserve"> formed from Sandmeyer synthesis (</w:t>
      </w:r>
      <w:proofErr w:type="spellStart"/>
      <w:r w:rsidRPr="005966E2">
        <w:rPr>
          <w:color w:val="000000"/>
        </w:rPr>
        <w:t>azidobenzene</w:t>
      </w:r>
      <w:proofErr w:type="spellEnd"/>
      <w:r w:rsidRPr="005966E2">
        <w:rPr>
          <w:color w:val="000000"/>
        </w:rPr>
        <w:t>, 4-</w:t>
      </w:r>
      <w:r w:rsidRPr="0053629F">
        <w:rPr>
          <w:i/>
          <w:iCs/>
          <w:color w:val="000000"/>
        </w:rPr>
        <w:t>tert</w:t>
      </w:r>
      <w:r w:rsidRPr="005966E2">
        <w:rPr>
          <w:color w:val="000000"/>
        </w:rPr>
        <w:t>-butylazidobenzene, 2-bromoazidobenzene and 2-bromo-4-</w:t>
      </w:r>
      <w:r w:rsidRPr="0053629F">
        <w:rPr>
          <w:i/>
          <w:iCs/>
          <w:color w:val="000000"/>
        </w:rPr>
        <w:t>tert</w:t>
      </w:r>
      <w:r w:rsidRPr="005966E2">
        <w:rPr>
          <w:color w:val="000000"/>
        </w:rPr>
        <w:t xml:space="preserve">-butylazidobenzene) and alkynes formed from </w:t>
      </w:r>
      <w:proofErr w:type="spellStart"/>
      <w:r w:rsidRPr="005966E2">
        <w:rPr>
          <w:color w:val="000000"/>
        </w:rPr>
        <w:t>Sonogashira</w:t>
      </w:r>
      <w:proofErr w:type="spellEnd"/>
      <w:r w:rsidRPr="005966E2">
        <w:rPr>
          <w:color w:val="000000"/>
        </w:rPr>
        <w:t xml:space="preserve"> coupling (ethynylbenzene, 1-ethynylnaphthalene and 9-ethynylphenanthrene) to make 1,5-diaryl-1,2,3-triazoles. To determine how an overall planar geometry might impact antiseptic behavior</w:t>
      </w:r>
      <w:r>
        <w:rPr>
          <w:color w:val="000000"/>
        </w:rPr>
        <w:t>,</w:t>
      </w:r>
      <w:r w:rsidRPr="005966E2">
        <w:rPr>
          <w:color w:val="000000"/>
        </w:rPr>
        <w:t xml:space="preserve"> fused ring analogs were made from triazole-bridged 1,5-diaryl precursors possessing 2-bromophenyl reactive groups using a Pd-catalyzed annulation reaction. Triazolium salts of both bridged and fused ring analogs with variable phenyl, naphthyl and phenanthryl subunits were prepared by </w:t>
      </w:r>
      <w:r>
        <w:rPr>
          <w:color w:val="000000"/>
        </w:rPr>
        <w:t>alkylation</w:t>
      </w:r>
      <w:r w:rsidRPr="005966E2">
        <w:rPr>
          <w:color w:val="000000"/>
        </w:rPr>
        <w:t xml:space="preserve"> at the N3-position</w:t>
      </w:r>
      <w:r>
        <w:rPr>
          <w:color w:val="000000"/>
        </w:rPr>
        <w:t>, including both benzyl and photolabile groups</w:t>
      </w:r>
      <w:r w:rsidRPr="005966E2">
        <w:rPr>
          <w:color w:val="000000"/>
        </w:rPr>
        <w:t>. Following validation of each target molecule by HNMR and HRMS characterization, antiseptic testing was done using minimum</w:t>
      </w:r>
      <w:r>
        <w:rPr>
          <w:color w:val="000000"/>
        </w:rPr>
        <w:t xml:space="preserve"> </w:t>
      </w:r>
      <w:r w:rsidRPr="005966E2">
        <w:rPr>
          <w:color w:val="000000"/>
        </w:rPr>
        <w:t>inhibitory concentration (MIC) assays against Gram-positive bacteria (</w:t>
      </w:r>
      <w:r w:rsidRPr="00B16892">
        <w:rPr>
          <w:i/>
          <w:iCs/>
          <w:color w:val="000000"/>
        </w:rPr>
        <w:t>S. epidermidis</w:t>
      </w:r>
      <w:r w:rsidRPr="005966E2">
        <w:rPr>
          <w:color w:val="000000"/>
        </w:rPr>
        <w:t xml:space="preserve"> and </w:t>
      </w:r>
      <w:r w:rsidRPr="00B16892">
        <w:rPr>
          <w:i/>
          <w:iCs/>
          <w:color w:val="000000"/>
        </w:rPr>
        <w:t>B. subtilis</w:t>
      </w:r>
      <w:r w:rsidRPr="005966E2">
        <w:rPr>
          <w:color w:val="000000"/>
        </w:rPr>
        <w:t>), Gram-negative bacteria (</w:t>
      </w:r>
      <w:r w:rsidRPr="00E378EB">
        <w:rPr>
          <w:i/>
          <w:iCs/>
          <w:color w:val="000000"/>
        </w:rPr>
        <w:t>E. coli</w:t>
      </w:r>
      <w:r w:rsidRPr="005966E2">
        <w:rPr>
          <w:color w:val="000000"/>
        </w:rPr>
        <w:t xml:space="preserve"> and </w:t>
      </w:r>
      <w:r w:rsidRPr="00E378EB">
        <w:rPr>
          <w:i/>
          <w:iCs/>
          <w:color w:val="000000"/>
        </w:rPr>
        <w:t>K. aerogenes</w:t>
      </w:r>
      <w:r w:rsidRPr="005966E2">
        <w:rPr>
          <w:color w:val="000000"/>
        </w:rPr>
        <w:t>), and yeast (</w:t>
      </w:r>
      <w:r w:rsidRPr="00E378EB">
        <w:rPr>
          <w:i/>
          <w:iCs/>
          <w:color w:val="000000"/>
        </w:rPr>
        <w:t>C. albicans</w:t>
      </w:r>
      <w:r w:rsidRPr="005966E2">
        <w:rPr>
          <w:color w:val="000000"/>
        </w:rPr>
        <w:t xml:space="preserve"> and </w:t>
      </w:r>
      <w:r w:rsidRPr="00E378EB">
        <w:rPr>
          <w:i/>
          <w:iCs/>
          <w:color w:val="000000"/>
        </w:rPr>
        <w:t>S. cerevisiae</w:t>
      </w:r>
      <w:r w:rsidRPr="005966E2">
        <w:rPr>
          <w:color w:val="000000"/>
        </w:rPr>
        <w:t xml:space="preserve">). Antiseptic properties were observed to vary with both arene size and geometry. </w:t>
      </w:r>
      <w:r>
        <w:rPr>
          <w:color w:val="000000"/>
        </w:rPr>
        <w:t xml:space="preserve"> Antiseptic salts with photolabile groups were successfully deactivated by exposure to UV light.  </w:t>
      </w:r>
      <w:r w:rsidRPr="005966E2">
        <w:rPr>
          <w:color w:val="000000"/>
        </w:rPr>
        <w:t>This presentation will describe the synthesis of bridged and fused-ring 1,2,3-triazolium salts</w:t>
      </w:r>
      <w:r>
        <w:rPr>
          <w:color w:val="000000"/>
        </w:rPr>
        <w:t>,</w:t>
      </w:r>
      <w:r w:rsidRPr="005966E2">
        <w:rPr>
          <w:color w:val="000000"/>
        </w:rPr>
        <w:t xml:space="preserve"> </w:t>
      </w:r>
      <w:r>
        <w:rPr>
          <w:color w:val="000000"/>
        </w:rPr>
        <w:t xml:space="preserve">as well as the </w:t>
      </w:r>
      <w:r w:rsidRPr="005966E2">
        <w:rPr>
          <w:color w:val="000000"/>
        </w:rPr>
        <w:t xml:space="preserve">structure-activity relationships </w:t>
      </w:r>
      <w:r>
        <w:rPr>
          <w:color w:val="000000"/>
        </w:rPr>
        <w:t xml:space="preserve">of their antiseptic properties and </w:t>
      </w:r>
      <w:proofErr w:type="spellStart"/>
      <w:r>
        <w:rPr>
          <w:color w:val="000000"/>
        </w:rPr>
        <w:t>photodeactivation</w:t>
      </w:r>
      <w:proofErr w:type="spellEnd"/>
      <w:r>
        <w:rPr>
          <w:color w:val="000000"/>
        </w:rPr>
        <w:t>.</w:t>
      </w:r>
    </w:p>
    <w:sectPr w:rsidR="00E83BCC" w:rsidRPr="00022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28"/>
    <w:rsid w:val="0002285F"/>
    <w:rsid w:val="00057BF0"/>
    <w:rsid w:val="000F336F"/>
    <w:rsid w:val="00217466"/>
    <w:rsid w:val="002B7A6C"/>
    <w:rsid w:val="002F533F"/>
    <w:rsid w:val="00317B30"/>
    <w:rsid w:val="003A6975"/>
    <w:rsid w:val="005A7912"/>
    <w:rsid w:val="00951C02"/>
    <w:rsid w:val="00996288"/>
    <w:rsid w:val="00A801C3"/>
    <w:rsid w:val="00C0662D"/>
    <w:rsid w:val="00D07728"/>
    <w:rsid w:val="00DC1475"/>
    <w:rsid w:val="00E4730D"/>
    <w:rsid w:val="00E519BA"/>
    <w:rsid w:val="00E668B3"/>
    <w:rsid w:val="00E83BCC"/>
    <w:rsid w:val="00F0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43AB3"/>
  <w15:chartTrackingRefBased/>
  <w15:docId w15:val="{064EDB71-5405-2F44-8015-6BFB4E81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728"/>
    <w:rPr>
      <w:rFonts w:eastAsiaTheme="majorEastAsia" w:cstheme="majorBidi"/>
      <w:color w:val="272727" w:themeColor="text1" w:themeTint="D8"/>
    </w:rPr>
  </w:style>
  <w:style w:type="paragraph" w:styleId="Title">
    <w:name w:val="Title"/>
    <w:basedOn w:val="Normal"/>
    <w:next w:val="Normal"/>
    <w:link w:val="TitleChar"/>
    <w:uiPriority w:val="10"/>
    <w:qFormat/>
    <w:rsid w:val="00D07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728"/>
    <w:pPr>
      <w:spacing w:before="160"/>
      <w:jc w:val="center"/>
    </w:pPr>
    <w:rPr>
      <w:i/>
      <w:iCs/>
      <w:color w:val="404040" w:themeColor="text1" w:themeTint="BF"/>
    </w:rPr>
  </w:style>
  <w:style w:type="character" w:customStyle="1" w:styleId="QuoteChar">
    <w:name w:val="Quote Char"/>
    <w:basedOn w:val="DefaultParagraphFont"/>
    <w:link w:val="Quote"/>
    <w:uiPriority w:val="29"/>
    <w:rsid w:val="00D07728"/>
    <w:rPr>
      <w:i/>
      <w:iCs/>
      <w:color w:val="404040" w:themeColor="text1" w:themeTint="BF"/>
    </w:rPr>
  </w:style>
  <w:style w:type="paragraph" w:styleId="ListParagraph">
    <w:name w:val="List Paragraph"/>
    <w:basedOn w:val="Normal"/>
    <w:uiPriority w:val="34"/>
    <w:qFormat/>
    <w:rsid w:val="00D07728"/>
    <w:pPr>
      <w:ind w:left="720"/>
      <w:contextualSpacing/>
    </w:pPr>
  </w:style>
  <w:style w:type="character" w:styleId="IntenseEmphasis">
    <w:name w:val="Intense Emphasis"/>
    <w:basedOn w:val="DefaultParagraphFont"/>
    <w:uiPriority w:val="21"/>
    <w:qFormat/>
    <w:rsid w:val="00D07728"/>
    <w:rPr>
      <w:i/>
      <w:iCs/>
      <w:color w:val="0F4761" w:themeColor="accent1" w:themeShade="BF"/>
    </w:rPr>
  </w:style>
  <w:style w:type="paragraph" w:styleId="IntenseQuote">
    <w:name w:val="Intense Quote"/>
    <w:basedOn w:val="Normal"/>
    <w:next w:val="Normal"/>
    <w:link w:val="IntenseQuoteChar"/>
    <w:uiPriority w:val="30"/>
    <w:qFormat/>
    <w:rsid w:val="00D07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728"/>
    <w:rPr>
      <w:i/>
      <w:iCs/>
      <w:color w:val="0F4761" w:themeColor="accent1" w:themeShade="BF"/>
    </w:rPr>
  </w:style>
  <w:style w:type="character" w:styleId="IntenseReference">
    <w:name w:val="Intense Reference"/>
    <w:basedOn w:val="DefaultParagraphFont"/>
    <w:uiPriority w:val="32"/>
    <w:qFormat/>
    <w:rsid w:val="00D07728"/>
    <w:rPr>
      <w:b/>
      <w:bCs/>
      <w:smallCaps/>
      <w:color w:val="0F4761" w:themeColor="accent1" w:themeShade="BF"/>
      <w:spacing w:val="5"/>
    </w:rPr>
  </w:style>
  <w:style w:type="paragraph" w:styleId="NormalWeb">
    <w:name w:val="Normal (Web)"/>
    <w:basedOn w:val="Normal"/>
    <w:uiPriority w:val="99"/>
    <w:unhideWhenUsed/>
    <w:rsid w:val="000228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17B30"/>
    <w:rPr>
      <w:color w:val="467886" w:themeColor="hyperlink"/>
      <w:u w:val="single"/>
    </w:rPr>
  </w:style>
  <w:style w:type="character" w:styleId="UnresolvedMention">
    <w:name w:val="Unresolved Mention"/>
    <w:basedOn w:val="DefaultParagraphFont"/>
    <w:uiPriority w:val="99"/>
    <w:semiHidden/>
    <w:unhideWhenUsed/>
    <w:rsid w:val="00317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ilyhanneken@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Hanneken, Emily M</dc:creator>
  <cp:keywords/>
  <dc:description/>
  <cp:lastModifiedBy>Hanneken, Emily M</cp:lastModifiedBy>
  <cp:revision>2</cp:revision>
  <dcterms:created xsi:type="dcterms:W3CDTF">2025-02-28T20:03:00Z</dcterms:created>
  <dcterms:modified xsi:type="dcterms:W3CDTF">2025-02-28T20:03:00Z</dcterms:modified>
</cp:coreProperties>
</file>