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4800" w:rsidRDefault="001B4800" w14:paraId="2A8037B1" w14:textId="04AAF018">
      <w:pPr>
        <w:pStyle w:val="BodyText"/>
        <w:spacing w:line="480" w:lineRule="auto"/>
        <w:rPr>
          <w:b/>
          <w:bCs/>
        </w:rPr>
      </w:pPr>
      <w:r w:rsidRPr="001B4800">
        <w:rPr>
          <w:b/>
          <w:bCs/>
        </w:rPr>
        <w:t>NOSTALGIA OR NOVELTY? INVESTIGATING THE MODERN PASSION FOR COLLECTING ITEMS</w:t>
      </w:r>
    </w:p>
    <w:p w:rsidR="001B4800" w:rsidP="4EE24C13" w:rsidRDefault="001B4800" w14:paraId="0B1B6670" w14:textId="051F202D">
      <w:pPr>
        <w:pStyle w:val="BodyText"/>
        <w:ind w:firstLine="620"/>
      </w:pPr>
      <w:r>
        <w:t>Sophia Huss</w:t>
      </w:r>
      <w:r w:rsidRPr="4EE24C13">
        <w:rPr>
          <w:vertAlign w:val="superscript"/>
        </w:rPr>
        <w:t>1</w:t>
      </w:r>
      <w:r>
        <w:t>, shuss3@huskers.unl.edu</w:t>
      </w:r>
    </w:p>
    <w:p w:rsidRPr="001B4800" w:rsidR="001B4800" w:rsidP="4EE24C13" w:rsidRDefault="001B4800" w14:paraId="41862FF8" w14:textId="36AC07FB">
      <w:pPr>
        <w:pStyle w:val="BodyText"/>
        <w:ind w:firstLine="620"/>
      </w:pPr>
      <w:r>
        <w:t>1-Department of Global and Integrative Studies, University of Nebraska, Lincoln, NE </w:t>
      </w:r>
    </w:p>
    <w:p w:rsidR="4EE24C13" w:rsidP="4EE24C13" w:rsidRDefault="4EE24C13" w14:paraId="6887D0C4" w14:textId="4ADA5E5B">
      <w:pPr>
        <w:pStyle w:val="BodyText"/>
        <w:ind w:firstLine="620"/>
      </w:pPr>
    </w:p>
    <w:p w:rsidR="00330B83" w:rsidP="001B4800" w:rsidRDefault="00E5263F" w14:paraId="188CFC3C" w14:textId="0BF0A896">
      <w:pPr>
        <w:pStyle w:val="BodyText"/>
        <w:rPr>
          <w:spacing w:val="-2"/>
        </w:rPr>
      </w:pPr>
      <w:r>
        <w:t xml:space="preserve">It is agreed upon by many that the act of collecting is a behavior in humans that is far from modern. It is an action that has been documented numerous times throughout history, both on small, individualistic and large, </w:t>
      </w:r>
      <w:proofErr w:type="spellStart"/>
      <w:r>
        <w:t>corporational</w:t>
      </w:r>
      <w:proofErr w:type="spellEnd"/>
      <w:r>
        <w:t xml:space="preserve"> scales. Common knowledge around collecting is primarily focused on the ideas of museums and personal accumulations. As maintained by the European Museums Network, the oldest known museum was built in 530 B.C,—nearly 2,555 years ago—and was devoted to Mesopotamian antiques ("The </w:t>
      </w:r>
      <w:proofErr w:type="spellStart"/>
      <w:r>
        <w:t>Worlds</w:t>
      </w:r>
      <w:proofErr w:type="spellEnd"/>
      <w:r>
        <w:t xml:space="preserve"> Oldest Museums", n.d.). This isn’t to say that the interest in collecting started then, as many claim that the urge to collect stems from evolutionary impulses and it is theorized by these groups that collecting </w:t>
      </w:r>
      <w:r>
        <w:t>has been a habit since early humanity (Dillon, 2019). Others who have researched this topic hold the belief that collecting originates from intrinsic motivations such as simple, aesthetic purposes or psychological</w:t>
      </w:r>
      <w:r>
        <w:rPr>
          <w:spacing w:val="-1"/>
        </w:rPr>
        <w:t xml:space="preserve"> </w:t>
      </w:r>
      <w:r>
        <w:t>reasons,</w:t>
      </w:r>
      <w:r>
        <w:rPr>
          <w:spacing w:val="-1"/>
        </w:rPr>
        <w:t xml:space="preserve"> </w:t>
      </w:r>
      <w:r>
        <w:t>examples</w:t>
      </w:r>
      <w:r>
        <w:rPr>
          <w:spacing w:val="-1"/>
        </w:rPr>
        <w:t xml:space="preserve"> </w:t>
      </w:r>
      <w:r>
        <w:t>including</w:t>
      </w:r>
      <w:r>
        <w:rPr>
          <w:spacing w:val="-1"/>
        </w:rPr>
        <w:t xml:space="preserve"> </w:t>
      </w:r>
      <w:r>
        <w:t>adolescent</w:t>
      </w:r>
      <w:r>
        <w:rPr>
          <w:spacing w:val="-1"/>
        </w:rPr>
        <w:t xml:space="preserve"> </w:t>
      </w:r>
      <w:r>
        <w:t>deprivation</w:t>
      </w:r>
      <w:r>
        <w:rPr>
          <w:spacing w:val="-1"/>
        </w:rPr>
        <w:t xml:space="preserve"> </w:t>
      </w:r>
      <w:r>
        <w:t>or</w:t>
      </w:r>
      <w:r>
        <w:rPr>
          <w:spacing w:val="-1"/>
        </w:rPr>
        <w:t xml:space="preserve"> </w:t>
      </w:r>
      <w:r>
        <w:t>insecurity</w:t>
      </w:r>
      <w:r>
        <w:rPr>
          <w:spacing w:val="-1"/>
        </w:rPr>
        <w:t xml:space="preserve"> </w:t>
      </w:r>
      <w:r>
        <w:t>(</w:t>
      </w:r>
      <w:proofErr w:type="spellStart"/>
      <w:r>
        <w:t>Tanselle</w:t>
      </w:r>
      <w:proofErr w:type="spellEnd"/>
      <w:r>
        <w:t>,</w:t>
      </w:r>
      <w:r>
        <w:rPr>
          <w:spacing w:val="-1"/>
        </w:rPr>
        <w:t xml:space="preserve"> </w:t>
      </w:r>
      <w:r>
        <w:t>1998). Another</w:t>
      </w:r>
      <w:r>
        <w:rPr>
          <w:spacing w:val="-4"/>
        </w:rPr>
        <w:t xml:space="preserve"> </w:t>
      </w:r>
      <w:r>
        <w:t>theory</w:t>
      </w:r>
      <w:r>
        <w:rPr>
          <w:spacing w:val="-4"/>
        </w:rPr>
        <w:t xml:space="preserve"> </w:t>
      </w:r>
      <w:r>
        <w:t>behind</w:t>
      </w:r>
      <w:r>
        <w:rPr>
          <w:spacing w:val="-4"/>
        </w:rPr>
        <w:t xml:space="preserve"> </w:t>
      </w:r>
      <w:r>
        <w:t>collecting</w:t>
      </w:r>
      <w:r>
        <w:rPr>
          <w:spacing w:val="-4"/>
        </w:rPr>
        <w:t xml:space="preserve"> </w:t>
      </w:r>
      <w:r>
        <w:t>motivations</w:t>
      </w:r>
      <w:r>
        <w:rPr>
          <w:spacing w:val="-4"/>
        </w:rPr>
        <w:t xml:space="preserve"> </w:t>
      </w:r>
      <w:r>
        <w:t>explores</w:t>
      </w:r>
      <w:r>
        <w:rPr>
          <w:spacing w:val="-4"/>
        </w:rPr>
        <w:t xml:space="preserve"> </w:t>
      </w:r>
      <w:r>
        <w:t>possible</w:t>
      </w:r>
      <w:r>
        <w:rPr>
          <w:spacing w:val="-4"/>
        </w:rPr>
        <w:t xml:space="preserve"> </w:t>
      </w:r>
      <w:r>
        <w:t>social</w:t>
      </w:r>
      <w:r>
        <w:rPr>
          <w:spacing w:val="-4"/>
        </w:rPr>
        <w:t xml:space="preserve"> </w:t>
      </w:r>
      <w:r>
        <w:t>connections,</w:t>
      </w:r>
      <w:r>
        <w:rPr>
          <w:spacing w:val="-4"/>
        </w:rPr>
        <w:t xml:space="preserve"> </w:t>
      </w:r>
      <w:r>
        <w:t>as</w:t>
      </w:r>
      <w:r>
        <w:rPr>
          <w:spacing w:val="-4"/>
        </w:rPr>
        <w:t xml:space="preserve"> </w:t>
      </w:r>
      <w:r>
        <w:t>it</w:t>
      </w:r>
      <w:r>
        <w:rPr>
          <w:spacing w:val="-4"/>
        </w:rPr>
        <w:t xml:space="preserve"> </w:t>
      </w:r>
      <w:r>
        <w:t>has</w:t>
      </w:r>
      <w:r>
        <w:rPr>
          <w:spacing w:val="-4"/>
        </w:rPr>
        <w:t xml:space="preserve"> </w:t>
      </w:r>
      <w:r>
        <w:t>been studied and found that the majority of people begin their collections based on familial influences (Jorgensen et al.,</w:t>
      </w:r>
      <w:r>
        <w:t xml:space="preserve"> 2023). This literature review will investigate the relationships between collecting</w:t>
      </w:r>
      <w:r>
        <w:rPr>
          <w:spacing w:val="-3"/>
        </w:rPr>
        <w:t xml:space="preserve"> </w:t>
      </w:r>
      <w:r>
        <w:t>and</w:t>
      </w:r>
      <w:r>
        <w:rPr>
          <w:spacing w:val="-3"/>
        </w:rPr>
        <w:t xml:space="preserve"> </w:t>
      </w:r>
      <w:r>
        <w:t>anthropology</w:t>
      </w:r>
      <w:r>
        <w:rPr>
          <w:spacing w:val="-3"/>
        </w:rPr>
        <w:t xml:space="preserve"> </w:t>
      </w:r>
      <w:r>
        <w:t>and</w:t>
      </w:r>
      <w:r>
        <w:rPr>
          <w:spacing w:val="-3"/>
        </w:rPr>
        <w:t xml:space="preserve"> </w:t>
      </w:r>
      <w:r>
        <w:t>will</w:t>
      </w:r>
      <w:r>
        <w:rPr>
          <w:spacing w:val="-3"/>
        </w:rPr>
        <w:t xml:space="preserve"> </w:t>
      </w:r>
      <w:r>
        <w:t>use</w:t>
      </w:r>
      <w:r>
        <w:rPr>
          <w:spacing w:val="-3"/>
        </w:rPr>
        <w:t xml:space="preserve"> </w:t>
      </w:r>
      <w:r>
        <w:t>secondary</w:t>
      </w:r>
      <w:r>
        <w:rPr>
          <w:spacing w:val="-3"/>
        </w:rPr>
        <w:t xml:space="preserve"> </w:t>
      </w:r>
      <w:r>
        <w:t>research</w:t>
      </w:r>
      <w:r>
        <w:rPr>
          <w:spacing w:val="-3"/>
        </w:rPr>
        <w:t xml:space="preserve"> </w:t>
      </w:r>
      <w:r>
        <w:t>in</w:t>
      </w:r>
      <w:r>
        <w:rPr>
          <w:spacing w:val="-3"/>
        </w:rPr>
        <w:t xml:space="preserve"> </w:t>
      </w:r>
      <w:r>
        <w:t>an</w:t>
      </w:r>
      <w:r>
        <w:rPr>
          <w:spacing w:val="-3"/>
        </w:rPr>
        <w:t xml:space="preserve"> </w:t>
      </w:r>
      <w:r>
        <w:t>attempt</w:t>
      </w:r>
      <w:r>
        <w:rPr>
          <w:spacing w:val="-3"/>
        </w:rPr>
        <w:t xml:space="preserve"> </w:t>
      </w:r>
      <w:r>
        <w:t>to</w:t>
      </w:r>
      <w:r>
        <w:rPr>
          <w:spacing w:val="-3"/>
        </w:rPr>
        <w:t xml:space="preserve"> </w:t>
      </w:r>
      <w:r>
        <w:t>identify</w:t>
      </w:r>
      <w:r>
        <w:rPr>
          <w:spacing w:val="-3"/>
        </w:rPr>
        <w:t xml:space="preserve"> </w:t>
      </w:r>
      <w:r>
        <w:t>and</w:t>
      </w:r>
      <w:r>
        <w:rPr>
          <w:spacing w:val="-3"/>
        </w:rPr>
        <w:t xml:space="preserve"> </w:t>
      </w:r>
      <w:r>
        <w:t xml:space="preserve">answer the motivating factors behind why people collect, and the sub-question of how their collections </w:t>
      </w:r>
      <w:r>
        <w:rPr>
          <w:spacing w:val="-2"/>
        </w:rPr>
        <w:t>began.</w:t>
      </w:r>
    </w:p>
    <w:p w:rsidR="001B4800" w:rsidP="001B4800" w:rsidRDefault="001B4800" w14:paraId="3E30C12C" w14:textId="1EC2B73E">
      <w:pPr>
        <w:pStyle w:val="BodyText"/>
        <w:jc w:val="center"/>
        <w:rPr>
          <w:spacing w:val="-2"/>
        </w:rPr>
      </w:pPr>
      <w:r w:rsidR="001B4800">
        <w:rPr>
          <w:spacing w:val="-2"/>
        </w:rPr>
        <w:t>References</w:t>
      </w:r>
    </w:p>
    <w:p w:rsidR="001B4800" w:rsidP="2B3F0341" w:rsidRDefault="001B4800" w14:paraId="033D0C20" w14:textId="19DBF117">
      <w:pPr>
        <w:spacing w:before="276" w:beforeAutospacing="off" w:after="0" w:afterAutospacing="off" w:line="480" w:lineRule="auto"/>
        <w:ind w:left="820" w:right="0" w:hanging="720"/>
        <w:rPr>
          <w:noProof w:val="0"/>
          <w:sz w:val="24"/>
          <w:szCs w:val="24"/>
          <w:lang w:val="en-US"/>
        </w:rPr>
      </w:pPr>
      <w:r w:rsidRPr="2B3F0341" w:rsidR="68CBD795">
        <w:rPr>
          <w:rFonts w:ascii="Times New Roman" w:hAnsi="Times New Roman" w:eastAsia="Times New Roman" w:cs="Times New Roman"/>
          <w:noProof w:val="0"/>
          <w:sz w:val="24"/>
          <w:szCs w:val="24"/>
          <w:lang w:val="en-US"/>
        </w:rPr>
        <w:t xml:space="preserve">Dillon, A. (2019). Collecting as Routine Human Behavior: Personal Identity and Control in the Material and Digital World. </w:t>
      </w:r>
      <w:r w:rsidRPr="2B3F0341" w:rsidR="68CBD795">
        <w:rPr>
          <w:rFonts w:ascii="Times New Roman" w:hAnsi="Times New Roman" w:eastAsia="Times New Roman" w:cs="Times New Roman"/>
          <w:i w:val="1"/>
          <w:iCs w:val="1"/>
          <w:noProof w:val="0"/>
          <w:sz w:val="24"/>
          <w:szCs w:val="24"/>
          <w:lang w:val="en-US"/>
        </w:rPr>
        <w:t>Information &amp; Culture</w:t>
      </w:r>
      <w:r w:rsidRPr="2B3F0341" w:rsidR="68CBD795">
        <w:rPr>
          <w:rFonts w:ascii="Times New Roman" w:hAnsi="Times New Roman" w:eastAsia="Times New Roman" w:cs="Times New Roman"/>
          <w:noProof w:val="0"/>
          <w:sz w:val="24"/>
          <w:szCs w:val="24"/>
          <w:lang w:val="en-US"/>
        </w:rPr>
        <w:t xml:space="preserve">, </w:t>
      </w:r>
      <w:r w:rsidRPr="2B3F0341" w:rsidR="68CBD795">
        <w:rPr>
          <w:rFonts w:ascii="Times New Roman" w:hAnsi="Times New Roman" w:eastAsia="Times New Roman" w:cs="Times New Roman"/>
          <w:i w:val="1"/>
          <w:iCs w:val="1"/>
          <w:noProof w:val="0"/>
          <w:sz w:val="24"/>
          <w:szCs w:val="24"/>
          <w:lang w:val="en-US"/>
        </w:rPr>
        <w:t>54</w:t>
      </w:r>
      <w:r w:rsidRPr="2B3F0341" w:rsidR="68CBD795">
        <w:rPr>
          <w:rFonts w:ascii="Times New Roman" w:hAnsi="Times New Roman" w:eastAsia="Times New Roman" w:cs="Times New Roman"/>
          <w:noProof w:val="0"/>
          <w:sz w:val="24"/>
          <w:szCs w:val="24"/>
          <w:lang w:val="en-US"/>
        </w:rPr>
        <w:t xml:space="preserve">(3), 255–280. </w:t>
      </w:r>
      <w:r w:rsidRPr="2B3F0341" w:rsidR="68CBD795">
        <w:rPr>
          <w:noProof w:val="0"/>
          <w:sz w:val="24"/>
          <w:szCs w:val="24"/>
          <w:lang w:val="en-US"/>
        </w:rPr>
        <w:t>https://www.jstor.org/stable/26855128</w:t>
      </w:r>
    </w:p>
    <w:p w:rsidR="001B4800" w:rsidP="2B3F0341" w:rsidRDefault="001B4800" w14:paraId="6C18F5EC" w14:textId="79BB3CF6">
      <w:pPr>
        <w:spacing w:before="0" w:beforeAutospacing="off" w:after="0" w:afterAutospacing="off" w:line="480" w:lineRule="auto"/>
        <w:ind w:left="820" w:right="0" w:hanging="720"/>
        <w:rPr>
          <w:noProof w:val="0"/>
          <w:sz w:val="24"/>
          <w:szCs w:val="24"/>
          <w:lang w:val="en-US"/>
        </w:rPr>
      </w:pPr>
      <w:r w:rsidRPr="2B3F0341" w:rsidR="68CBD795">
        <w:rPr>
          <w:rFonts w:ascii="Times New Roman" w:hAnsi="Times New Roman" w:eastAsia="Times New Roman" w:cs="Times New Roman"/>
          <w:noProof w:val="0"/>
          <w:sz w:val="24"/>
          <w:szCs w:val="24"/>
          <w:lang w:val="en-US"/>
        </w:rPr>
        <w:t xml:space="preserve">Johnson Jorgensen, J., Sorensen, K., &amp; </w:t>
      </w:r>
      <w:r w:rsidRPr="2B3F0341" w:rsidR="68CBD795">
        <w:rPr>
          <w:rFonts w:ascii="Times New Roman" w:hAnsi="Times New Roman" w:eastAsia="Times New Roman" w:cs="Times New Roman"/>
          <w:noProof w:val="0"/>
          <w:sz w:val="24"/>
          <w:szCs w:val="24"/>
          <w:lang w:val="en-US"/>
        </w:rPr>
        <w:t>Spilinek</w:t>
      </w:r>
      <w:r w:rsidRPr="2B3F0341" w:rsidR="68CBD795">
        <w:rPr>
          <w:rFonts w:ascii="Times New Roman" w:hAnsi="Times New Roman" w:eastAsia="Times New Roman" w:cs="Times New Roman"/>
          <w:noProof w:val="0"/>
          <w:sz w:val="24"/>
          <w:szCs w:val="24"/>
          <w:lang w:val="en-US"/>
        </w:rPr>
        <w:t xml:space="preserve">, M. (2023). Motivations to Collect: How Consumers Are Socialized to Build Product Collections. Social Sciences, 12(12), 671. </w:t>
      </w:r>
      <w:r w:rsidRPr="2B3F0341" w:rsidR="68CBD795">
        <w:rPr>
          <w:noProof w:val="0"/>
          <w:sz w:val="24"/>
          <w:szCs w:val="24"/>
          <w:lang w:val="en-US"/>
        </w:rPr>
        <w:t>https://doi.org/10.3390/socsci12120671</w:t>
      </w:r>
    </w:p>
    <w:p w:rsidR="001B4800" w:rsidP="2B3F0341" w:rsidRDefault="001B4800" w14:paraId="06E14789" w14:textId="4122D520">
      <w:pPr>
        <w:spacing w:before="0" w:beforeAutospacing="off" w:after="0" w:afterAutospacing="off" w:line="480" w:lineRule="auto"/>
        <w:ind w:left="820" w:right="0" w:hanging="720"/>
        <w:rPr>
          <w:noProof w:val="0"/>
          <w:sz w:val="24"/>
          <w:szCs w:val="24"/>
          <w:lang w:val="en-US"/>
        </w:rPr>
      </w:pPr>
      <w:r w:rsidRPr="2B3F0341" w:rsidR="68CBD795">
        <w:rPr>
          <w:rFonts w:ascii="Times New Roman" w:hAnsi="Times New Roman" w:eastAsia="Times New Roman" w:cs="Times New Roman"/>
          <w:noProof w:val="0"/>
          <w:sz w:val="24"/>
          <w:szCs w:val="24"/>
          <w:lang w:val="en-US"/>
        </w:rPr>
        <w:t xml:space="preserve">Rubel, P., &amp; Rosman, A. (2001). The Collecting Passion in America. </w:t>
      </w:r>
      <w:r w:rsidRPr="2B3F0341" w:rsidR="68CBD795">
        <w:rPr>
          <w:rFonts w:ascii="Times New Roman" w:hAnsi="Times New Roman" w:eastAsia="Times New Roman" w:cs="Times New Roman"/>
          <w:i w:val="1"/>
          <w:iCs w:val="1"/>
          <w:noProof w:val="0"/>
          <w:sz w:val="24"/>
          <w:szCs w:val="24"/>
          <w:lang w:val="en-US"/>
        </w:rPr>
        <w:t>Zeitschrift</w:t>
      </w:r>
      <w:r w:rsidRPr="2B3F0341" w:rsidR="68CBD795">
        <w:rPr>
          <w:rFonts w:ascii="Times New Roman" w:hAnsi="Times New Roman" w:eastAsia="Times New Roman" w:cs="Times New Roman"/>
          <w:i w:val="1"/>
          <w:iCs w:val="1"/>
          <w:noProof w:val="0"/>
          <w:sz w:val="24"/>
          <w:szCs w:val="24"/>
          <w:lang w:val="en-US"/>
        </w:rPr>
        <w:t xml:space="preserve"> Für </w:t>
      </w:r>
      <w:r w:rsidRPr="2B3F0341" w:rsidR="68CBD795">
        <w:rPr>
          <w:rFonts w:ascii="Times New Roman" w:hAnsi="Times New Roman" w:eastAsia="Times New Roman" w:cs="Times New Roman"/>
          <w:i w:val="1"/>
          <w:iCs w:val="1"/>
          <w:noProof w:val="0"/>
          <w:sz w:val="24"/>
          <w:szCs w:val="24"/>
          <w:lang w:val="en-US"/>
        </w:rPr>
        <w:t>Ethnologie</w:t>
      </w:r>
      <w:r w:rsidRPr="2B3F0341" w:rsidR="68CBD795">
        <w:rPr>
          <w:rFonts w:ascii="Times New Roman" w:hAnsi="Times New Roman" w:eastAsia="Times New Roman" w:cs="Times New Roman"/>
          <w:noProof w:val="0"/>
          <w:sz w:val="24"/>
          <w:szCs w:val="24"/>
          <w:lang w:val="en-US"/>
        </w:rPr>
        <w:t xml:space="preserve">, </w:t>
      </w:r>
      <w:r w:rsidRPr="2B3F0341" w:rsidR="68CBD795">
        <w:rPr>
          <w:rFonts w:ascii="Times New Roman" w:hAnsi="Times New Roman" w:eastAsia="Times New Roman" w:cs="Times New Roman"/>
          <w:i w:val="1"/>
          <w:iCs w:val="1"/>
          <w:noProof w:val="0"/>
          <w:sz w:val="24"/>
          <w:szCs w:val="24"/>
          <w:lang w:val="en-US"/>
        </w:rPr>
        <w:t>126</w:t>
      </w:r>
      <w:r w:rsidRPr="2B3F0341" w:rsidR="68CBD795">
        <w:rPr>
          <w:rFonts w:ascii="Times New Roman" w:hAnsi="Times New Roman" w:eastAsia="Times New Roman" w:cs="Times New Roman"/>
          <w:noProof w:val="0"/>
          <w:sz w:val="24"/>
          <w:szCs w:val="24"/>
          <w:lang w:val="en-US"/>
        </w:rPr>
        <w:t xml:space="preserve">(2), 313–330. </w:t>
      </w:r>
      <w:r w:rsidRPr="2B3F0341" w:rsidR="68CBD795">
        <w:rPr>
          <w:noProof w:val="0"/>
          <w:sz w:val="24"/>
          <w:szCs w:val="24"/>
          <w:lang w:val="en-US"/>
        </w:rPr>
        <w:t>http://www.jstor.org/stable/25842828</w:t>
      </w:r>
    </w:p>
    <w:p w:rsidR="001B4800" w:rsidP="2B3F0341" w:rsidRDefault="001B4800" w14:paraId="144456E4" w14:textId="761A8F23">
      <w:pPr>
        <w:spacing w:before="0" w:beforeAutospacing="off" w:after="0" w:afterAutospacing="off" w:line="480" w:lineRule="auto"/>
        <w:ind w:left="100" w:right="0"/>
        <w:rPr>
          <w:noProof w:val="0"/>
          <w:sz w:val="24"/>
          <w:szCs w:val="24"/>
          <w:lang w:val="en-US"/>
        </w:rPr>
      </w:pPr>
      <w:r w:rsidRPr="2B3F0341" w:rsidR="68CBD795">
        <w:rPr>
          <w:rFonts w:ascii="Times New Roman" w:hAnsi="Times New Roman" w:eastAsia="Times New Roman" w:cs="Times New Roman"/>
          <w:noProof w:val="0"/>
          <w:sz w:val="24"/>
          <w:szCs w:val="24"/>
          <w:lang w:val="en-US"/>
        </w:rPr>
        <w:t>Rykwert</w:t>
      </w:r>
      <w:r w:rsidRPr="2B3F0341" w:rsidR="68CBD795">
        <w:rPr>
          <w:rFonts w:ascii="Times New Roman" w:hAnsi="Times New Roman" w:eastAsia="Times New Roman" w:cs="Times New Roman"/>
          <w:noProof w:val="0"/>
          <w:sz w:val="24"/>
          <w:szCs w:val="24"/>
          <w:lang w:val="en-US"/>
        </w:rPr>
        <w:t xml:space="preserve">. “Why Collect? Joseph </w:t>
      </w:r>
      <w:r w:rsidRPr="2B3F0341" w:rsidR="68CBD795">
        <w:rPr>
          <w:rFonts w:ascii="Times New Roman" w:hAnsi="Times New Roman" w:eastAsia="Times New Roman" w:cs="Times New Roman"/>
          <w:noProof w:val="0"/>
          <w:sz w:val="24"/>
          <w:szCs w:val="24"/>
          <w:lang w:val="en-US"/>
        </w:rPr>
        <w:t>Rykwert</w:t>
      </w:r>
      <w:r w:rsidRPr="2B3F0341" w:rsidR="68CBD795">
        <w:rPr>
          <w:rFonts w:ascii="Times New Roman" w:hAnsi="Times New Roman" w:eastAsia="Times New Roman" w:cs="Times New Roman"/>
          <w:noProof w:val="0"/>
          <w:sz w:val="24"/>
          <w:szCs w:val="24"/>
          <w:lang w:val="en-US"/>
        </w:rPr>
        <w:t xml:space="preserve"> Considers What Has Led People through the Ages to </w:t>
      </w:r>
      <w:r w:rsidRPr="2B3F0341" w:rsidR="68CBD795">
        <w:rPr>
          <w:rFonts w:ascii="Times New Roman" w:hAnsi="Times New Roman" w:eastAsia="Times New Roman" w:cs="Times New Roman"/>
          <w:noProof w:val="0"/>
          <w:sz w:val="24"/>
          <w:szCs w:val="24"/>
          <w:lang w:val="en-US"/>
        </w:rPr>
        <w:t>Tanselle</w:t>
      </w:r>
      <w:r w:rsidRPr="2B3F0341" w:rsidR="68CBD795">
        <w:rPr>
          <w:rFonts w:ascii="Times New Roman" w:hAnsi="Times New Roman" w:eastAsia="Times New Roman" w:cs="Times New Roman"/>
          <w:noProof w:val="0"/>
          <w:sz w:val="24"/>
          <w:szCs w:val="24"/>
          <w:lang w:val="en-US"/>
        </w:rPr>
        <w:t xml:space="preserve">, G. T. (1998). A Rationale of Collecting. </w:t>
      </w:r>
      <w:r w:rsidRPr="2B3F0341" w:rsidR="68CBD795">
        <w:rPr>
          <w:rFonts w:ascii="Times New Roman" w:hAnsi="Times New Roman" w:eastAsia="Times New Roman" w:cs="Times New Roman"/>
          <w:i w:val="1"/>
          <w:iCs w:val="1"/>
          <w:noProof w:val="0"/>
          <w:sz w:val="24"/>
          <w:szCs w:val="24"/>
          <w:lang w:val="en-US"/>
        </w:rPr>
        <w:t>Studies in Bibliography</w:t>
      </w:r>
      <w:r w:rsidRPr="2B3F0341" w:rsidR="68CBD795">
        <w:rPr>
          <w:rFonts w:ascii="Times New Roman" w:hAnsi="Times New Roman" w:eastAsia="Times New Roman" w:cs="Times New Roman"/>
          <w:noProof w:val="0"/>
          <w:sz w:val="24"/>
          <w:szCs w:val="24"/>
          <w:lang w:val="en-US"/>
        </w:rPr>
        <w:t xml:space="preserve">, </w:t>
      </w:r>
      <w:r w:rsidRPr="2B3F0341" w:rsidR="68CBD795">
        <w:rPr>
          <w:rFonts w:ascii="Times New Roman" w:hAnsi="Times New Roman" w:eastAsia="Times New Roman" w:cs="Times New Roman"/>
          <w:i w:val="1"/>
          <w:iCs w:val="1"/>
          <w:noProof w:val="0"/>
          <w:sz w:val="24"/>
          <w:szCs w:val="24"/>
          <w:lang w:val="en-US"/>
        </w:rPr>
        <w:t>51</w:t>
      </w:r>
      <w:r w:rsidRPr="2B3F0341" w:rsidR="68CBD795">
        <w:rPr>
          <w:rFonts w:ascii="Times New Roman" w:hAnsi="Times New Roman" w:eastAsia="Times New Roman" w:cs="Times New Roman"/>
          <w:noProof w:val="0"/>
          <w:sz w:val="24"/>
          <w:szCs w:val="24"/>
          <w:lang w:val="en-US"/>
        </w:rPr>
        <w:t>, 1–25.</w:t>
      </w:r>
      <w:r>
        <w:tab/>
      </w:r>
      <w:r>
        <w:tab/>
      </w:r>
      <w:r>
        <w:tab/>
      </w:r>
      <w:r w:rsidRPr="2B3F0341" w:rsidR="68CBD795">
        <w:rPr>
          <w:noProof w:val="0"/>
          <w:sz w:val="24"/>
          <w:szCs w:val="24"/>
          <w:lang w:val="en-US"/>
        </w:rPr>
        <w:t>http://www.jstor.org/stable/40372043</w:t>
      </w:r>
    </w:p>
    <w:p w:rsidR="001B4800" w:rsidP="2B3F0341" w:rsidRDefault="001B4800" w14:paraId="01FB4471" w14:textId="1AC50E10">
      <w:pPr>
        <w:spacing w:before="276" w:beforeAutospacing="off" w:after="0" w:afterAutospacing="off" w:line="480" w:lineRule="auto"/>
        <w:ind w:left="100" w:right="1392" w:hanging="0"/>
        <w:rPr>
          <w:noProof w:val="0"/>
          <w:sz w:val="24"/>
          <w:szCs w:val="24"/>
          <w:lang w:val="en-US"/>
        </w:rPr>
      </w:pPr>
      <w:r w:rsidRPr="2B3F0341" w:rsidR="68CBD795">
        <w:rPr>
          <w:rFonts w:ascii="Times New Roman" w:hAnsi="Times New Roman" w:eastAsia="Times New Roman" w:cs="Times New Roman"/>
          <w:noProof w:val="0"/>
          <w:sz w:val="24"/>
          <w:szCs w:val="24"/>
          <w:lang w:val="en-US"/>
        </w:rPr>
        <w:t xml:space="preserve">“The World’s Oldest Museums.” </w:t>
      </w:r>
      <w:r w:rsidRPr="2B3F0341" w:rsidR="68CBD795">
        <w:rPr>
          <w:rFonts w:ascii="Times New Roman" w:hAnsi="Times New Roman" w:eastAsia="Times New Roman" w:cs="Times New Roman"/>
          <w:noProof w:val="0"/>
          <w:sz w:val="24"/>
          <w:szCs w:val="24"/>
          <w:lang w:val="en-US"/>
        </w:rPr>
        <w:t>Museums.Eu</w:t>
      </w:r>
      <w:r w:rsidRPr="2B3F0341" w:rsidR="68CBD795">
        <w:rPr>
          <w:rFonts w:ascii="Times New Roman" w:hAnsi="Times New Roman" w:eastAsia="Times New Roman" w:cs="Times New Roman"/>
          <w:noProof w:val="0"/>
          <w:sz w:val="24"/>
          <w:szCs w:val="24"/>
          <w:lang w:val="en-US"/>
        </w:rPr>
        <w:t xml:space="preserve"> - The European Museums Network, </w:t>
      </w:r>
      <w:r>
        <w:tab/>
      </w:r>
      <w:r w:rsidRPr="2B3F0341" w:rsidR="68CBD795">
        <w:rPr>
          <w:noProof w:val="0"/>
          <w:sz w:val="24"/>
          <w:szCs w:val="24"/>
          <w:lang w:val="en-US"/>
        </w:rPr>
        <w:t>museums.eu/highlight/details/105317/the-</w:t>
      </w:r>
      <w:r w:rsidRPr="2B3F0341" w:rsidR="68CBD795">
        <w:rPr>
          <w:noProof w:val="0"/>
          <w:sz w:val="24"/>
          <w:szCs w:val="24"/>
          <w:lang w:val="en-US"/>
        </w:rPr>
        <w:t>worlds</w:t>
      </w:r>
      <w:r w:rsidRPr="2B3F0341" w:rsidR="68CBD795">
        <w:rPr>
          <w:noProof w:val="0"/>
          <w:sz w:val="24"/>
          <w:szCs w:val="24"/>
          <w:lang w:val="en-US"/>
        </w:rPr>
        <w:t>-oldest-museums.</w:t>
      </w:r>
    </w:p>
    <w:p w:rsidR="001B4800" w:rsidP="001B4800" w:rsidRDefault="001B4800" w14:paraId="2B8BEF31" w14:textId="46BCECCE">
      <w:pPr>
        <w:pStyle w:val="BodyText"/>
        <w:jc w:val="center"/>
      </w:pPr>
    </w:p>
    <w:sectPr w:rsidR="001B4800">
      <w:type w:val="continuous"/>
      <w:pgSz w:w="12240" w:h="15840" w:orient="portrait"/>
      <w:pgMar w:top="138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B83"/>
    <w:rsid w:val="001B4800"/>
    <w:rsid w:val="00330B83"/>
    <w:rsid w:val="00BB0DEF"/>
    <w:rsid w:val="00E5263F"/>
    <w:rsid w:val="00FF4F6C"/>
    <w:rsid w:val="08F73F29"/>
    <w:rsid w:val="2B3F0341"/>
    <w:rsid w:val="30DB3F60"/>
    <w:rsid w:val="43729742"/>
    <w:rsid w:val="4EE24C13"/>
    <w:rsid w:val="53B51736"/>
    <w:rsid w:val="6099A7D0"/>
    <w:rsid w:val="626552BB"/>
    <w:rsid w:val="68CBD7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D0F3E"/>
  <w15:docId w15:val="{B6ED6818-47F9-470F-8AB2-DC2F9BFDD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60"/>
      <w:ind w:left="100" w:right="113"/>
    </w:pPr>
    <w:rPr>
      <w:sz w:val="24"/>
      <w:szCs w:val="24"/>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character" w:styleId="Hyperlink">
    <w:name w:val="Hyperlink"/>
    <w:basedOn w:val="DefaultParagraphFont"/>
    <w:uiPriority w:val="99"/>
    <w:unhideWhenUsed/>
    <w:rsid w:val="001B4800"/>
    <w:rPr>
      <w:color w:val="0000FF" w:themeColor="hyperlink"/>
      <w:u w:val="single"/>
    </w:rPr>
  </w:style>
  <w:style w:type="character" w:styleId="UnresolvedMention">
    <w:name w:val="Unresolved Mention"/>
    <w:basedOn w:val="DefaultParagraphFont"/>
    <w:uiPriority w:val="99"/>
    <w:semiHidden/>
    <w:unhideWhenUsed/>
    <w:rsid w:val="001B4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739295">
      <w:bodyDiv w:val="1"/>
      <w:marLeft w:val="0"/>
      <w:marRight w:val="0"/>
      <w:marTop w:val="0"/>
      <w:marBottom w:val="0"/>
      <w:divBdr>
        <w:top w:val="none" w:sz="0" w:space="0" w:color="auto"/>
        <w:left w:val="none" w:sz="0" w:space="0" w:color="auto"/>
        <w:bottom w:val="none" w:sz="0" w:space="0" w:color="auto"/>
        <w:right w:val="none" w:sz="0" w:space="0" w:color="auto"/>
      </w:divBdr>
      <w:divsChild>
        <w:div w:id="95954016">
          <w:marLeft w:val="0"/>
          <w:marRight w:val="0"/>
          <w:marTop w:val="0"/>
          <w:marBottom w:val="0"/>
          <w:divBdr>
            <w:top w:val="none" w:sz="0" w:space="0" w:color="auto"/>
            <w:left w:val="none" w:sz="0" w:space="0" w:color="auto"/>
            <w:bottom w:val="none" w:sz="0" w:space="0" w:color="auto"/>
            <w:right w:val="none" w:sz="0" w:space="0" w:color="auto"/>
          </w:divBdr>
        </w:div>
        <w:div w:id="319971373">
          <w:marLeft w:val="0"/>
          <w:marRight w:val="0"/>
          <w:marTop w:val="0"/>
          <w:marBottom w:val="0"/>
          <w:divBdr>
            <w:top w:val="none" w:sz="0" w:space="0" w:color="auto"/>
            <w:left w:val="none" w:sz="0" w:space="0" w:color="auto"/>
            <w:bottom w:val="none" w:sz="0" w:space="0" w:color="auto"/>
            <w:right w:val="none" w:sz="0" w:space="0" w:color="auto"/>
          </w:divBdr>
        </w:div>
      </w:divsChild>
    </w:div>
    <w:div w:id="1961378424">
      <w:bodyDiv w:val="1"/>
      <w:marLeft w:val="0"/>
      <w:marRight w:val="0"/>
      <w:marTop w:val="0"/>
      <w:marBottom w:val="0"/>
      <w:divBdr>
        <w:top w:val="none" w:sz="0" w:space="0" w:color="auto"/>
        <w:left w:val="none" w:sz="0" w:space="0" w:color="auto"/>
        <w:bottom w:val="none" w:sz="0" w:space="0" w:color="auto"/>
        <w:right w:val="none" w:sz="0" w:space="0" w:color="auto"/>
      </w:divBdr>
      <w:divsChild>
        <w:div w:id="1544906432">
          <w:marLeft w:val="0"/>
          <w:marRight w:val="0"/>
          <w:marTop w:val="0"/>
          <w:marBottom w:val="0"/>
          <w:divBdr>
            <w:top w:val="none" w:sz="0" w:space="0" w:color="auto"/>
            <w:left w:val="none" w:sz="0" w:space="0" w:color="auto"/>
            <w:bottom w:val="none" w:sz="0" w:space="0" w:color="auto"/>
            <w:right w:val="none" w:sz="0" w:space="0" w:color="auto"/>
          </w:divBdr>
        </w:div>
        <w:div w:id="825324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Call for Papers Abstract - Sophia Huss</dc:title>
  <dc:creator>Maggie Klemm</dc:creator>
  <lastModifiedBy>Maggie Klemm</lastModifiedBy>
  <revision>4</revision>
  <dcterms:created xsi:type="dcterms:W3CDTF">2025-04-15T14:12:00.0000000Z</dcterms:created>
  <dcterms:modified xsi:type="dcterms:W3CDTF">2025-04-15T14:18:48.0233435Z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m136 Google Docs Renderer</vt:lpwstr>
  </property>
</Properties>
</file>