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E91A" w14:textId="34F78AE1" w:rsidR="00916ACF" w:rsidRDefault="00916ACF" w:rsidP="00916AC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Investigating Regulation of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daf-12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Between the Sexes of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Brugia malayi </w:t>
      </w:r>
      <w:r w:rsidRPr="001409F2">
        <w:rPr>
          <w:rFonts w:ascii="Times New Roman" w:hAnsi="Times New Roman" w:cs="Times New Roman"/>
          <w:b/>
          <w:bCs/>
          <w:sz w:val="24"/>
          <w:szCs w:val="24"/>
        </w:rPr>
        <w:t>Nematodes</w:t>
      </w:r>
    </w:p>
    <w:p w14:paraId="656BCE48" w14:textId="233F7A94" w:rsidR="00A32508" w:rsidRPr="005C634E" w:rsidRDefault="00916ACF" w:rsidP="00916ACF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Shannon Kennicutt</w:t>
      </w:r>
      <w:r w:rsidR="009835D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526">
        <w:rPr>
          <w:rFonts w:ascii="Times New Roman" w:hAnsi="Times New Roman" w:cs="Times New Roman"/>
          <w:sz w:val="24"/>
          <w:szCs w:val="24"/>
        </w:rPr>
        <w:t>Sudhanva Kashyap</w:t>
      </w:r>
      <w:r w:rsidR="009835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D3FE6">
        <w:rPr>
          <w:rFonts w:ascii="Times New Roman" w:hAnsi="Times New Roman" w:cs="Times New Roman"/>
          <w:sz w:val="24"/>
          <w:szCs w:val="24"/>
        </w:rPr>
        <w:t>,</w:t>
      </w:r>
      <w:r w:rsidR="008A146C">
        <w:rPr>
          <w:rFonts w:ascii="Times New Roman" w:hAnsi="Times New Roman" w:cs="Times New Roman"/>
          <w:sz w:val="24"/>
          <w:szCs w:val="24"/>
        </w:rPr>
        <w:t xml:space="preserve"> and</w:t>
      </w:r>
      <w:r w:rsidR="000E7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Douglas </w:t>
      </w:r>
      <w:r w:rsidR="0054666A">
        <w:rPr>
          <w:rFonts w:ascii="Times New Roman" w:hAnsi="Times New Roman" w:cs="Times New Roman"/>
          <w:sz w:val="24"/>
          <w:szCs w:val="24"/>
        </w:rPr>
        <w:t>Christensen</w:t>
      </w:r>
      <w:r w:rsidR="005C634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572DB39" w14:textId="1D606125" w:rsidR="00A32508" w:rsidRDefault="00A32508" w:rsidP="00A32508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0772A">
          <w:rPr>
            <w:rStyle w:val="Hyperlink"/>
            <w:rFonts w:ascii="Times New Roman" w:hAnsi="Times New Roman" w:cs="Times New Roman"/>
            <w:sz w:val="24"/>
            <w:szCs w:val="24"/>
          </w:rPr>
          <w:t>shcore01@wsc.edu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A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853DF" w14:textId="5A9337DB" w:rsidR="00A32508" w:rsidRPr="00916ACF" w:rsidRDefault="009835D1" w:rsidP="00290E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16ACF">
        <w:rPr>
          <w:rFonts w:ascii="Times New Roman" w:hAnsi="Times New Roman" w:cs="Times New Roman"/>
          <w:sz w:val="24"/>
          <w:szCs w:val="24"/>
        </w:rPr>
        <w:t>Department of Life Sciences, Wayne State College, Wayne, NE.</w:t>
      </w:r>
      <w:r w:rsidR="00290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90ED1">
        <w:rPr>
          <w:rFonts w:ascii="Times New Roman" w:hAnsi="Times New Roman" w:cs="Times New Roman"/>
          <w:sz w:val="24"/>
          <w:szCs w:val="24"/>
        </w:rPr>
        <w:t>Department of</w:t>
      </w:r>
      <w:r w:rsidR="00A32508">
        <w:rPr>
          <w:rFonts w:ascii="Times New Roman" w:hAnsi="Times New Roman" w:cs="Times New Roman"/>
          <w:sz w:val="24"/>
          <w:szCs w:val="24"/>
        </w:rPr>
        <w:t xml:space="preserve"> Medical Microbiology and Immunology, Creighton University</w:t>
      </w:r>
    </w:p>
    <w:p w14:paraId="7D679A59" w14:textId="4CBFFD1B" w:rsidR="008F527A" w:rsidRPr="008D3EED" w:rsidRDefault="008F5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Lymphatic filariasis</w:t>
      </w:r>
      <w:r>
        <w:rPr>
          <w:rFonts w:ascii="Times New Roman" w:hAnsi="Times New Roman" w:cs="Times New Roman"/>
          <w:sz w:val="24"/>
          <w:szCs w:val="24"/>
        </w:rPr>
        <w:t xml:space="preserve"> also known as Elephantiasis, is a severely debilitating parasitic infection caused by mosquito transmitted nematodes and affecting nearly 50 million people living in tropical and subtropical regions.</w:t>
      </w:r>
      <w:r w:rsidR="00BB5D1E" w:rsidRPr="00BB5D1E">
        <w:rPr>
          <w:rFonts w:ascii="Times New Roman" w:hAnsi="Times New Roman" w:cs="Times New Roman"/>
          <w:sz w:val="24"/>
          <w:szCs w:val="24"/>
        </w:rPr>
        <w:t xml:space="preserve"> </w:t>
      </w:r>
      <w:r w:rsidR="00BB5D1E">
        <w:rPr>
          <w:rFonts w:ascii="Times New Roman" w:hAnsi="Times New Roman" w:cs="Times New Roman"/>
          <w:sz w:val="24"/>
          <w:szCs w:val="24"/>
        </w:rPr>
        <w:t xml:space="preserve">Over 650 million people in 39 countries are vulnerable to several filariasis species, with the nematode </w:t>
      </w:r>
      <w:r w:rsidR="00BB5D1E" w:rsidRPr="002C6B00">
        <w:rPr>
          <w:rFonts w:ascii="Times New Roman" w:hAnsi="Times New Roman" w:cs="Times New Roman"/>
          <w:i/>
          <w:iCs/>
          <w:sz w:val="24"/>
          <w:szCs w:val="24"/>
        </w:rPr>
        <w:t>Brugia malayi</w:t>
      </w:r>
      <w:r w:rsidR="00BB5D1E">
        <w:rPr>
          <w:rFonts w:ascii="Times New Roman" w:hAnsi="Times New Roman" w:cs="Times New Roman"/>
          <w:sz w:val="24"/>
          <w:szCs w:val="24"/>
        </w:rPr>
        <w:t xml:space="preserve"> endemic in South and Southeast Asia causing almost 10% of all </w:t>
      </w:r>
      <w:r w:rsidR="00BB5D1E">
        <w:rPr>
          <w:rFonts w:ascii="Times New Roman" w:hAnsi="Times New Roman" w:cs="Times New Roman"/>
          <w:i/>
          <w:iCs/>
          <w:sz w:val="24"/>
          <w:szCs w:val="24"/>
        </w:rPr>
        <w:t xml:space="preserve">Lymphatic filariasis </w:t>
      </w:r>
      <w:r w:rsidR="00BB5D1E">
        <w:rPr>
          <w:rFonts w:ascii="Times New Roman" w:hAnsi="Times New Roman" w:cs="Times New Roman"/>
          <w:sz w:val="24"/>
          <w:szCs w:val="24"/>
        </w:rPr>
        <w:t>cases globally.</w:t>
      </w:r>
      <w:r w:rsidR="008D3EED">
        <w:rPr>
          <w:rFonts w:ascii="Times New Roman" w:hAnsi="Times New Roman" w:cs="Times New Roman"/>
          <w:sz w:val="24"/>
          <w:szCs w:val="24"/>
        </w:rPr>
        <w:t xml:space="preserve"> There have been many programs aimed at eliminat</w:t>
      </w:r>
      <w:r w:rsidR="00B74976">
        <w:rPr>
          <w:rFonts w:ascii="Times New Roman" w:hAnsi="Times New Roman" w:cs="Times New Roman"/>
          <w:sz w:val="24"/>
          <w:szCs w:val="24"/>
        </w:rPr>
        <w:t>ing</w:t>
      </w:r>
      <w:r w:rsidR="008D3EED">
        <w:rPr>
          <w:rFonts w:ascii="Times New Roman" w:hAnsi="Times New Roman" w:cs="Times New Roman"/>
          <w:sz w:val="24"/>
          <w:szCs w:val="24"/>
        </w:rPr>
        <w:t xml:space="preserve"> </w:t>
      </w:r>
      <w:r w:rsidR="008D3EED">
        <w:rPr>
          <w:rFonts w:ascii="Times New Roman" w:hAnsi="Times New Roman" w:cs="Times New Roman"/>
          <w:i/>
          <w:iCs/>
          <w:sz w:val="24"/>
          <w:szCs w:val="24"/>
        </w:rPr>
        <w:t>Lymphatic filariasis</w:t>
      </w:r>
      <w:r w:rsidR="008D3EED">
        <w:rPr>
          <w:rFonts w:ascii="Times New Roman" w:hAnsi="Times New Roman" w:cs="Times New Roman"/>
          <w:sz w:val="24"/>
          <w:szCs w:val="24"/>
        </w:rPr>
        <w:t xml:space="preserve"> by use of preventive chemotherapy agents</w:t>
      </w:r>
      <w:r w:rsidR="00B74976">
        <w:rPr>
          <w:rFonts w:ascii="Times New Roman" w:hAnsi="Times New Roman" w:cs="Times New Roman"/>
          <w:sz w:val="24"/>
          <w:szCs w:val="24"/>
        </w:rPr>
        <w:t xml:space="preserve">, which have successfully eliminated </w:t>
      </w:r>
      <w:r w:rsidR="00B74976">
        <w:rPr>
          <w:rFonts w:ascii="Times New Roman" w:hAnsi="Times New Roman" w:cs="Times New Roman"/>
          <w:i/>
          <w:iCs/>
          <w:sz w:val="24"/>
          <w:szCs w:val="24"/>
        </w:rPr>
        <w:t>Lymphatic filariasis</w:t>
      </w:r>
      <w:r w:rsidR="00B74976">
        <w:rPr>
          <w:rFonts w:ascii="Times New Roman" w:hAnsi="Times New Roman" w:cs="Times New Roman"/>
          <w:sz w:val="24"/>
          <w:szCs w:val="24"/>
        </w:rPr>
        <w:t xml:space="preserve"> within 9 countries since the year 2000</w:t>
      </w:r>
      <w:r w:rsidR="008D3EED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8D3EED">
        <w:rPr>
          <w:rFonts w:ascii="Times New Roman" w:hAnsi="Times New Roman" w:cs="Times New Roman"/>
          <w:i/>
          <w:iCs/>
          <w:sz w:val="24"/>
          <w:szCs w:val="24"/>
        </w:rPr>
        <w:t>Brugia malayi</w:t>
      </w:r>
      <w:r w:rsidR="008D3EED">
        <w:rPr>
          <w:rFonts w:ascii="Times New Roman" w:hAnsi="Times New Roman" w:cs="Times New Roman"/>
          <w:sz w:val="24"/>
          <w:szCs w:val="24"/>
        </w:rPr>
        <w:t xml:space="preserve"> present a unique challenge compared to other nematode species as current drug interventions only control the disease by killing the microfilaria, or immature larvae of the species. </w:t>
      </w:r>
      <w:r w:rsidR="008D3EED" w:rsidRPr="009E011D">
        <w:rPr>
          <w:rFonts w:ascii="Times New Roman" w:hAnsi="Times New Roman" w:cs="Times New Roman"/>
          <w:sz w:val="24"/>
          <w:szCs w:val="24"/>
        </w:rPr>
        <w:t xml:space="preserve">This leaves the adult worm unharmed and capable of producing more larvae, which can </w:t>
      </w:r>
      <w:r w:rsidR="008D3EED">
        <w:rPr>
          <w:rFonts w:ascii="Times New Roman" w:hAnsi="Times New Roman" w:cs="Times New Roman"/>
          <w:sz w:val="24"/>
          <w:szCs w:val="24"/>
        </w:rPr>
        <w:t>prolong</w:t>
      </w:r>
      <w:r w:rsidR="008D3EED" w:rsidRPr="009E011D">
        <w:rPr>
          <w:rFonts w:ascii="Times New Roman" w:hAnsi="Times New Roman" w:cs="Times New Roman"/>
          <w:sz w:val="24"/>
          <w:szCs w:val="24"/>
        </w:rPr>
        <w:t xml:space="preserve"> treatment</w:t>
      </w:r>
      <w:r w:rsidR="008D3EED">
        <w:rPr>
          <w:rFonts w:ascii="Times New Roman" w:hAnsi="Times New Roman" w:cs="Times New Roman"/>
          <w:sz w:val="24"/>
          <w:szCs w:val="24"/>
        </w:rPr>
        <w:t xml:space="preserve"> requirements and increase risk for drug resistance</w:t>
      </w:r>
      <w:r w:rsidR="008D3EED" w:rsidRPr="009E011D">
        <w:rPr>
          <w:rFonts w:ascii="Times New Roman" w:hAnsi="Times New Roman" w:cs="Times New Roman"/>
          <w:sz w:val="24"/>
          <w:szCs w:val="24"/>
        </w:rPr>
        <w:t>.</w:t>
      </w:r>
      <w:r w:rsidR="008D3EED">
        <w:rPr>
          <w:rFonts w:ascii="Times New Roman" w:hAnsi="Times New Roman" w:cs="Times New Roman"/>
          <w:sz w:val="24"/>
          <w:szCs w:val="24"/>
        </w:rPr>
        <w:t xml:space="preserve"> </w:t>
      </w:r>
      <w:r w:rsidR="008D3EED" w:rsidRPr="009E011D">
        <w:rPr>
          <w:rFonts w:ascii="Times New Roman" w:hAnsi="Times New Roman" w:cs="Times New Roman"/>
          <w:sz w:val="24"/>
          <w:szCs w:val="24"/>
        </w:rPr>
        <w:t>Levamisole</w:t>
      </w:r>
      <w:r w:rsidR="008D3EED">
        <w:rPr>
          <w:rFonts w:ascii="Times New Roman" w:hAnsi="Times New Roman" w:cs="Times New Roman"/>
          <w:sz w:val="24"/>
          <w:szCs w:val="24"/>
        </w:rPr>
        <w:t xml:space="preserve"> has shown promise in controlling </w:t>
      </w:r>
      <w:r w:rsidR="008D3EED" w:rsidRPr="000408C3">
        <w:rPr>
          <w:rFonts w:ascii="Times New Roman" w:hAnsi="Times New Roman" w:cs="Times New Roman"/>
          <w:i/>
          <w:iCs/>
          <w:sz w:val="24"/>
          <w:szCs w:val="24"/>
        </w:rPr>
        <w:t>Brugia</w:t>
      </w:r>
      <w:r w:rsidR="008D3EED">
        <w:rPr>
          <w:rFonts w:ascii="Times New Roman" w:hAnsi="Times New Roman" w:cs="Times New Roman"/>
          <w:sz w:val="24"/>
          <w:szCs w:val="24"/>
        </w:rPr>
        <w:t xml:space="preserve"> infections </w:t>
      </w:r>
      <w:r w:rsidR="008D3EED" w:rsidRPr="009E011D">
        <w:rPr>
          <w:rFonts w:ascii="Times New Roman" w:hAnsi="Times New Roman" w:cs="Times New Roman"/>
          <w:sz w:val="24"/>
          <w:szCs w:val="24"/>
        </w:rPr>
        <w:t xml:space="preserve">by activating nAChR channels within the worm's muscle cells, causing an influx of cations that cause worm paralysis. </w:t>
      </w:r>
      <w:r w:rsidR="008D3EED">
        <w:rPr>
          <w:rFonts w:ascii="Times New Roman" w:hAnsi="Times New Roman" w:cs="Times New Roman"/>
          <w:sz w:val="24"/>
          <w:szCs w:val="24"/>
        </w:rPr>
        <w:t>H</w:t>
      </w:r>
      <w:r w:rsidR="008D3EED" w:rsidRPr="009E011D">
        <w:rPr>
          <w:rFonts w:ascii="Times New Roman" w:hAnsi="Times New Roman" w:cs="Times New Roman"/>
          <w:sz w:val="24"/>
          <w:szCs w:val="24"/>
        </w:rPr>
        <w:t>owever, only the male worms are permanently paralyzed.</w:t>
      </w:r>
      <w:r w:rsidR="008D3EED">
        <w:rPr>
          <w:rFonts w:ascii="Times New Roman" w:hAnsi="Times New Roman" w:cs="Times New Roman"/>
          <w:sz w:val="24"/>
          <w:szCs w:val="24"/>
        </w:rPr>
        <w:t xml:space="preserve"> To investigate this difference, we identified the gene </w:t>
      </w:r>
      <w:r w:rsidR="008D3EED">
        <w:rPr>
          <w:rFonts w:ascii="Times New Roman" w:hAnsi="Times New Roman" w:cs="Times New Roman"/>
          <w:i/>
          <w:iCs/>
          <w:sz w:val="24"/>
          <w:szCs w:val="24"/>
        </w:rPr>
        <w:t>daf-12</w:t>
      </w:r>
      <w:r w:rsidR="008D3EED">
        <w:rPr>
          <w:rFonts w:ascii="Times New Roman" w:hAnsi="Times New Roman" w:cs="Times New Roman"/>
          <w:sz w:val="24"/>
          <w:szCs w:val="24"/>
        </w:rPr>
        <w:t xml:space="preserve"> as a gene of interest that is upregulated within male </w:t>
      </w:r>
      <w:r w:rsidR="008D3EED">
        <w:rPr>
          <w:rFonts w:ascii="Times New Roman" w:hAnsi="Times New Roman" w:cs="Times New Roman"/>
          <w:i/>
          <w:iCs/>
          <w:sz w:val="24"/>
          <w:szCs w:val="24"/>
        </w:rPr>
        <w:t>Brugia</w:t>
      </w:r>
      <w:r w:rsidR="008D3EED">
        <w:rPr>
          <w:rFonts w:ascii="Times New Roman" w:hAnsi="Times New Roman" w:cs="Times New Roman"/>
          <w:sz w:val="24"/>
          <w:szCs w:val="24"/>
        </w:rPr>
        <w:t>. Analysis using qPCR has identified differences between male and female regulation as well as regulation among females that have been treated with varying amounts of levamisole</w:t>
      </w:r>
      <w:r w:rsidR="00B74976">
        <w:rPr>
          <w:rFonts w:ascii="Times New Roman" w:hAnsi="Times New Roman" w:cs="Times New Roman"/>
          <w:sz w:val="24"/>
          <w:szCs w:val="24"/>
        </w:rPr>
        <w:t xml:space="preserve">. </w:t>
      </w:r>
      <w:r w:rsidR="00B74976" w:rsidRPr="00B74976">
        <w:rPr>
          <w:rFonts w:ascii="Times New Roman" w:hAnsi="Times New Roman" w:cs="Times New Roman"/>
          <w:sz w:val="24"/>
          <w:szCs w:val="24"/>
        </w:rPr>
        <w:t>The project described was supported by an Institutional Development Award (</w:t>
      </w:r>
      <w:proofErr w:type="spellStart"/>
      <w:r w:rsidR="00B74976" w:rsidRPr="00B74976">
        <w:rPr>
          <w:rFonts w:ascii="Times New Roman" w:hAnsi="Times New Roman" w:cs="Times New Roman"/>
          <w:sz w:val="24"/>
          <w:szCs w:val="24"/>
        </w:rPr>
        <w:t>IDeA</w:t>
      </w:r>
      <w:proofErr w:type="spellEnd"/>
      <w:r w:rsidR="00B74976" w:rsidRPr="00B74976">
        <w:rPr>
          <w:rFonts w:ascii="Times New Roman" w:hAnsi="Times New Roman" w:cs="Times New Roman"/>
          <w:sz w:val="24"/>
          <w:szCs w:val="24"/>
        </w:rPr>
        <w:t>) from the National Institute of General Medical Sciences of the National Institutes of Health under Grant # 5P20GM103427.</w:t>
      </w:r>
    </w:p>
    <w:sectPr w:rsidR="008F527A" w:rsidRPr="008D3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27A"/>
    <w:rsid w:val="000A43AF"/>
    <w:rsid w:val="000E7270"/>
    <w:rsid w:val="001409F2"/>
    <w:rsid w:val="00290ED1"/>
    <w:rsid w:val="00310A89"/>
    <w:rsid w:val="003251A3"/>
    <w:rsid w:val="004B21B9"/>
    <w:rsid w:val="004F13D2"/>
    <w:rsid w:val="0054666A"/>
    <w:rsid w:val="005C634E"/>
    <w:rsid w:val="005D3FE6"/>
    <w:rsid w:val="007769D4"/>
    <w:rsid w:val="008A146C"/>
    <w:rsid w:val="008D3EED"/>
    <w:rsid w:val="008F527A"/>
    <w:rsid w:val="00916ACF"/>
    <w:rsid w:val="00963463"/>
    <w:rsid w:val="009835D1"/>
    <w:rsid w:val="00A32508"/>
    <w:rsid w:val="00A60526"/>
    <w:rsid w:val="00AE68B0"/>
    <w:rsid w:val="00B74976"/>
    <w:rsid w:val="00BB5D1E"/>
    <w:rsid w:val="00BC4955"/>
    <w:rsid w:val="00BE1207"/>
    <w:rsid w:val="00C62587"/>
    <w:rsid w:val="00DF04B2"/>
    <w:rsid w:val="00E4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D99E"/>
  <w15:chartTrackingRefBased/>
  <w15:docId w15:val="{BAF80515-09FB-4F9F-BB3D-F7D988FA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2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25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hcore01@ws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be2061-da06-4262-9cdc-537b4b5ac8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5A892CDF88D4E92CA4BA8268D92FB" ma:contentTypeVersion="15" ma:contentTypeDescription="Create a new document." ma:contentTypeScope="" ma:versionID="47a6b7185a3b9cb43f2877ee5374ebb2">
  <xsd:schema xmlns:xsd="http://www.w3.org/2001/XMLSchema" xmlns:xs="http://www.w3.org/2001/XMLSchema" xmlns:p="http://schemas.microsoft.com/office/2006/metadata/properties" xmlns:ns3="b5be2061-da06-4262-9cdc-537b4b5ac899" xmlns:ns4="976e3309-9d85-4cba-ace0-8738f5bd4685" targetNamespace="http://schemas.microsoft.com/office/2006/metadata/properties" ma:root="true" ma:fieldsID="fe44c669b7ee087937a44325a678114c" ns3:_="" ns4:_="">
    <xsd:import namespace="b5be2061-da06-4262-9cdc-537b4b5ac899"/>
    <xsd:import namespace="976e3309-9d85-4cba-ace0-8738f5bd46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e2061-da06-4262-9cdc-537b4b5ac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e3309-9d85-4cba-ace0-8738f5bd46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C6C30-09C5-4C6C-AB98-5B7D37FC8AAC}">
  <ds:schemaRefs>
    <ds:schemaRef ds:uri="http://purl.org/dc/dcmitype/"/>
    <ds:schemaRef ds:uri="http://purl.org/dc/terms/"/>
    <ds:schemaRef ds:uri="976e3309-9d85-4cba-ace0-8738f5bd4685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5be2061-da06-4262-9cdc-537b4b5ac89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49FFD9-813A-4307-8704-726123991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6AE76-01AA-4A79-91B6-2C9365657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e2061-da06-4262-9cdc-537b4b5ac899"/>
    <ds:schemaRef ds:uri="976e3309-9d85-4cba-ace0-8738f5bd4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Kennicutt</dc:creator>
  <cp:keywords/>
  <dc:description/>
  <cp:lastModifiedBy>Kerri Schnase-Berge</cp:lastModifiedBy>
  <cp:revision>2</cp:revision>
  <dcterms:created xsi:type="dcterms:W3CDTF">2025-04-22T13:56:00Z</dcterms:created>
  <dcterms:modified xsi:type="dcterms:W3CDTF">2025-04-22T13:56:00Z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0x0101007175A892CDF88D4E92CA4BA8268D92FB</vt:lpwstr>
  </property>
</Properties>
</file>